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286250" cy="895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aps/>
          <w:sz w:val="18"/>
          <w:szCs w:val="18"/>
          <w:u w:val="single"/>
        </w:rPr>
      </w:pPr>
      <w:r>
        <w:rPr>
          <w:rFonts w:ascii="Calibri" w:hAnsi="Calibri" w:cs="Calibri"/>
          <w:b/>
          <w:bCs/>
          <w:caps/>
          <w:sz w:val="18"/>
          <w:szCs w:val="18"/>
        </w:rPr>
        <w:t>ПРОЕКТ 23 октября 2015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aps/>
          <w:sz w:val="18"/>
          <w:szCs w:val="18"/>
          <w:u w:val="single"/>
        </w:rPr>
      </w:pPr>
      <w:r>
        <w:rPr>
          <w:rFonts w:ascii="Calibri" w:hAnsi="Calibri" w:cs="Calibri"/>
          <w:b/>
          <w:bCs/>
          <w:caps/>
          <w:sz w:val="18"/>
          <w:szCs w:val="18"/>
        </w:rPr>
        <w:t>Версия 1.8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 w:line="360" w:lineRule="auto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Список сокращений и аббревиатур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АД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Артериальное давление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КП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Клинический протокол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КР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Клиническое руководство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ЦС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Центр стандартизации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ССЗ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Сердечно-сосудистое заболевание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ПУЗ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Программа управления заболеваниями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ЕОК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Европейское общество кардиологов</w:t>
      </w:r>
      <w:r>
        <w:rPr>
          <w:rFonts w:ascii="Calibri" w:hAnsi="Calibri" w:cs="Calibri"/>
        </w:rPr>
        <w:tab/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</w:rPr>
        <w:t>РЦРЗ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color w:val="000000"/>
        </w:rPr>
        <w:t>Республиканский центр развития здравоохранения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МЗСР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Министерство здравоохранения и социального развития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1.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Клинические руководства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Стандарт: 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Клиническое руководство (КР) предназначенное для применения в Казахстане основано на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Руководстве ЕОГ/ЕОК по управлению артериальной гипертензией (2013 год): Рабочая группа по управлению артериальной гипертензией (Европейского общества по гипертензии) и Европейского общества по кардиологии (ЕОК)</w:t>
      </w:r>
      <w:r>
        <w:rPr>
          <w:rFonts w:ascii="Calibri" w:hAnsi="Calibri" w:cs="Calibri"/>
          <w:lang w:val="en-US"/>
        </w:rPr>
        <w:t>».</w:t>
      </w:r>
      <w:r>
        <w:rPr>
          <w:rFonts w:ascii="Calibri" w:hAnsi="Calibri" w:cs="Calibri"/>
          <w:color w:val="262626"/>
          <w:lang w:val="en-US"/>
        </w:rPr>
        <w:t xml:space="preserve"> J Hypertens.</w:t>
      </w:r>
      <w:r>
        <w:rPr>
          <w:rFonts w:ascii="Calibri" w:hAnsi="Calibri" w:cs="Calibri"/>
          <w:lang w:val="en-US"/>
        </w:rPr>
        <w:t xml:space="preserve"> 2013 Jul;31(7):1281-357.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Исключением по следованию содержания КР ЕОК было сделано по рекомендации по целевому артериальному давлению для пациентов с диабетом, для устранения противоречий в рекомендациях между КР ЕОК и последними доказательствами и руководствами по диабету. Следовательно, раздел</w:t>
      </w:r>
      <w:r>
        <w:rPr>
          <w:rFonts w:ascii="Calibri" w:hAnsi="Calibri" w:cs="Calibri"/>
          <w:i/>
          <w:iCs/>
        </w:rPr>
        <w:t xml:space="preserve"> 6.6 Сахарный диабет в КР ЕОК</w:t>
      </w:r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 xml:space="preserve"> должен быть заменен разделом </w:t>
      </w:r>
      <w:r>
        <w:rPr>
          <w:rFonts w:ascii="Calibri" w:hAnsi="Calibri" w:cs="Calibri"/>
          <w:i/>
          <w:iCs/>
        </w:rPr>
        <w:t xml:space="preserve">8. Сердечно-сосудистые заболевания и Риск их ведения </w:t>
      </w:r>
      <w:r>
        <w:rPr>
          <w:rFonts w:ascii="Calibri" w:hAnsi="Calibri" w:cs="Calibri"/>
        </w:rPr>
        <w:t xml:space="preserve">в Стандартах медицинского ведения диабета—2015.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>Ожидания: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Ожидается, что все врачи терапевты и кардиологи будут: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Читать КР в полном объеме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Посещать сертифицированные обучающие сессии, по крайней мере, раз в 3 года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Предоставлять аттестацию посещаемости Руководителю департамента по качеству поликлиники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Сдавать онлайн-экзамен по КР каждые 3 года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br w:type="page"/>
      </w: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2.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Постановка диагноза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Детали КР: смотрите Главу 3:  Оценка диагностики, стр. 1288 - 1299.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2.1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Соответствующая оценка уровня АД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2.1.1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Амбулаторное измерение уровня АД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Общепринятый стандарт по амбулаторному измерению уровня артериального давления (АД) с помощью сертифицированного оборудования, является золотым стандартом скрининга, диагностики и ведения гипертензии. Для большей точности, поликлиникам рекомендуется использовать полуавтоматические приборы по измерению уровня АД вместо измерения давления вручную. Следующая процедура, описанная в Таблице 1, должна соблюдаться при измерении уровня АД в поликлинике. 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1: Амбулаторное измерение уровня АД</w:t>
      </w:r>
    </w:p>
    <w:tbl>
      <w:tblPr>
        <w:tblW w:w="0" w:type="auto"/>
        <w:tblInd w:w="108" w:type="dxa"/>
        <w:tblLayout w:type="fixed"/>
        <w:tblLook w:val="0000"/>
      </w:tblPr>
      <w:tblGrid>
        <w:gridCol w:w="9606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При измерении АД на приеме у врача, необходимо соблюдать следующие меры: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•</w:t>
            </w:r>
            <w:r>
              <w:rPr>
                <w:rFonts w:ascii="Calibri" w:hAnsi="Calibri" w:cs="Calibri"/>
              </w:rPr>
              <w:t>позволить пациенту посидеть в течение 3–5 минут перед началом процедуры измерения уровня АД.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  <w:color w:val="222222"/>
              </w:rPr>
              <w:t>АД следует измерять,</w:t>
            </w:r>
            <w:r>
              <w:rPr>
                <w:rFonts w:ascii="Calibri" w:hAnsi="Calibri" w:cs="Calibri"/>
                <w:b/>
                <w:bCs/>
                <w:color w:val="222222"/>
                <w:lang w:val="en-US"/>
              </w:rPr>
              <w:t> </w:t>
            </w:r>
            <w:r>
              <w:rPr>
                <w:rFonts w:ascii="Calibri" w:hAnsi="Calibri" w:cs="Calibri"/>
                <w:color w:val="222222"/>
              </w:rPr>
              <w:t>по меньшей мере, двукратно</w:t>
            </w:r>
            <w:r>
              <w:rPr>
                <w:rFonts w:ascii="Calibri" w:hAnsi="Calibri" w:cs="Calibri"/>
                <w:b/>
                <w:bCs/>
                <w:color w:val="222222"/>
              </w:rPr>
              <w:t>,</w:t>
            </w:r>
            <w:r>
              <w:rPr>
                <w:rFonts w:ascii="Calibri" w:hAnsi="Calibri" w:cs="Calibri"/>
                <w:color w:val="222222"/>
                <w:lang w:val="en-US"/>
              </w:rPr>
              <w:t> </w:t>
            </w:r>
            <w:r>
              <w:rPr>
                <w:rFonts w:ascii="Calibri" w:hAnsi="Calibri" w:cs="Calibri"/>
                <w:color w:val="222222"/>
              </w:rPr>
              <w:t xml:space="preserve">с интервалом 1–2 минуты между измерениями; если полученные результаты сильно различаются, выполняют третье измерение АД. Учитывайте </w:t>
            </w:r>
            <w:r>
              <w:rPr>
                <w:rFonts w:ascii="Calibri" w:hAnsi="Calibri" w:cs="Calibri"/>
              </w:rPr>
              <w:t>среднее значение уровня АД, при необходимости.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При нарушении ритма (например, мерцательной аритмии/фибрилляции предсердий) для большей точности должны выполняться повторные измерения АД.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Используйте манжету стандартного размера (12–13 см в ширину и 35 см в длину), но имейте в запасе манжету большего и меньшего размеров для очень полных рук (окружности плеча более 32 см) или очень худых рук, соответственно).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Манжета должна располагаться</w:t>
            </w:r>
            <w:r>
              <w:rPr>
                <w:rFonts w:ascii="Calibri" w:hAnsi="Calibri" w:cs="Calibri"/>
                <w:lang w:val="en-US"/>
              </w:rPr>
              <w:t> </w:t>
            </w:r>
            <w:r>
              <w:rPr>
                <w:rFonts w:ascii="Calibri" w:hAnsi="Calibri" w:cs="Calibri"/>
              </w:rPr>
              <w:t>на уровне сердца, при любом положении пациента.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При аускультативном методе, для выявления систолического или диастолического АД, используются I (появление) и V (исчезновение) фазы тонов Короткова, соответственно.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В данном случае зафиксируйте наиболее высокое показание АД на одной из рук. При первом визите больного следует измерить АД</w:t>
            </w:r>
            <w:r>
              <w:rPr>
                <w:rFonts w:ascii="Calibri" w:hAnsi="Calibri" w:cs="Calibri"/>
                <w:lang w:val="en-US"/>
              </w:rPr>
              <w:t> </w:t>
            </w:r>
            <w:r>
              <w:rPr>
                <w:rFonts w:ascii="Calibri" w:hAnsi="Calibri" w:cs="Calibri"/>
              </w:rPr>
              <w:t>на обеих руках</w:t>
            </w:r>
            <w:r>
              <w:rPr>
                <w:rFonts w:ascii="Calibri" w:hAnsi="Calibri" w:cs="Calibri"/>
                <w:lang w:val="en-US"/>
              </w:rPr>
              <w:t> </w:t>
            </w:r>
            <w:r>
              <w:rPr>
                <w:rFonts w:ascii="Calibri" w:hAnsi="Calibri" w:cs="Calibri"/>
              </w:rPr>
              <w:t xml:space="preserve">для определения возможных различий.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  <w:color w:val="222222"/>
              </w:rPr>
              <w:t>У пациентов пожилого возраста, больных диабетом или другими заболеваниями следует измерить АД также в</w:t>
            </w:r>
            <w:r>
              <w:rPr>
                <w:rFonts w:ascii="Calibri" w:hAnsi="Calibri" w:cs="Calibri"/>
                <w:color w:val="222222"/>
                <w:lang w:val="en-US"/>
              </w:rPr>
              <w:t> </w:t>
            </w:r>
            <w:r>
              <w:rPr>
                <w:rFonts w:ascii="Calibri" w:hAnsi="Calibri" w:cs="Calibri"/>
                <w:color w:val="222222"/>
              </w:rPr>
              <w:t>положении стоя</w:t>
            </w:r>
            <w:r>
              <w:rPr>
                <w:rFonts w:ascii="Calibri" w:hAnsi="Calibri" w:cs="Calibri"/>
                <w:b/>
                <w:bCs/>
                <w:color w:val="222222"/>
              </w:rPr>
              <w:t>,</w:t>
            </w:r>
            <w:r>
              <w:rPr>
                <w:rFonts w:ascii="Calibri" w:hAnsi="Calibri" w:cs="Calibri"/>
                <w:color w:val="222222"/>
                <w:lang w:val="en-US"/>
              </w:rPr>
              <w:t> </w:t>
            </w:r>
            <w:r>
              <w:rPr>
                <w:rFonts w:ascii="Calibri" w:hAnsi="Calibri" w:cs="Calibri"/>
                <w:color w:val="222222"/>
              </w:rPr>
              <w:t>через 1, 3 и</w:t>
            </w:r>
            <w:r>
              <w:rPr>
                <w:rFonts w:ascii="Calibri" w:hAnsi="Calibri" w:cs="Calibri"/>
                <w:color w:val="222222"/>
                <w:lang w:val="en-US"/>
              </w:rPr>
              <w:t> 5 </w:t>
            </w:r>
            <w:r>
              <w:rPr>
                <w:rFonts w:ascii="Calibri" w:hAnsi="Calibri" w:cs="Calibri"/>
                <w:color w:val="222222"/>
              </w:rPr>
              <w:t>минут после вставания с целью выявления ортостатической гипотензии.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При стандартном измерении АД, после второго измерения, т</w:t>
            </w:r>
            <w:r>
              <w:rPr>
                <w:rFonts w:ascii="Calibri" w:hAnsi="Calibri" w:cs="Calibri"/>
                <w:color w:val="222222"/>
              </w:rPr>
              <w:t>акже оценивается частота сердечных сокращений путем пальпации, при положении пациента сидя (в течение по крайней мере 30 секунд) .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(Таблица 5, стр. 1289). 2013 г. 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>1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2.1.2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Измерение АД не на приеме у врача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Врачи могут рассмотреть суточное амбулаторное измерение АД или измерение АД в домашних условиях, если есть подозрение на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гипертензию белого халата</w:t>
      </w:r>
      <w:r>
        <w:rPr>
          <w:rFonts w:ascii="Calibri" w:hAnsi="Calibri" w:cs="Calibri"/>
          <w:lang w:val="en-US"/>
        </w:rPr>
        <w:t>» (</w:t>
      </w:r>
      <w:r>
        <w:rPr>
          <w:rFonts w:ascii="Calibri" w:hAnsi="Calibri" w:cs="Calibri"/>
        </w:rPr>
        <w:t>АД, измеренное на приеме у врача выше, чем АД, измеренное дома или на работе) или замаскированную гипертензию (наоборот). Рекомендации по измерению АД в домашних условиях предоставлены в Таблице 2.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2: Домашнее измерение уровня АД</w:t>
      </w:r>
    </w:p>
    <w:tbl>
      <w:tblPr>
        <w:tblW w:w="0" w:type="auto"/>
        <w:tblInd w:w="108" w:type="dxa"/>
        <w:tblLayout w:type="fixed"/>
        <w:tblLook w:val="0000"/>
      </w:tblPr>
      <w:tblGrid>
        <w:gridCol w:w="9350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При измерении уровня АД дома, необходимо соблюдать следующие меры: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689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Для измерения артериального давления с использованием автоматического аппарата, предпочтителен тонометр с памятью, который хранит каждое измерение. Если аппарат не хранит измерения, то пациента просят записать результаты в дневнике наблюдений.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Показания АД фиксируются минимум 1 раз в день, при 2 и более измерениях АД прибором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9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Показания АД фиксируются в течение минимум 3-4 дней (в идеале  в  течение 7 дней)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(раздел 3.1.2.2.1 Методологические аспекты, стр. 1290).  2013 г. 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 xml:space="preserve">1 </w:t>
      </w:r>
      <w:r>
        <w:rPr>
          <w:rFonts w:ascii="Calibri" w:hAnsi="Calibri" w:cs="Calibri"/>
          <w:sz w:val="20"/>
          <w:szCs w:val="20"/>
        </w:rPr>
        <w:t xml:space="preserve">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Ожидания: </w:t>
      </w:r>
      <w:r>
        <w:rPr>
          <w:rFonts w:ascii="Calibri" w:hAnsi="Calibri" w:cs="Calibri"/>
        </w:rPr>
        <w:t xml:space="preserve">Поликлиники должны внедрить процедуры, обеспечивающие следование правильного измерения АД и доступ к полуавтоматическим приборам измерения артериального давления.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2.2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Диагностические критерии высокого АД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Источник: </w:t>
      </w:r>
      <w:r>
        <w:rPr>
          <w:rFonts w:ascii="Calibri" w:hAnsi="Calibri" w:cs="Calibri"/>
        </w:rPr>
        <w:t>Руководство ЕОК Ключевой документ.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  <w:vertAlign w:val="superscript"/>
        </w:rPr>
        <w:t>2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Как отмечалось выше АД, измеренное на приеме у врача, является основным методом диагностики артериального давления. Диагностирование артериальной гипертензии основано, по крайней мере, на двух измерениях АД, в положении сидя во время двух приемов (как минимум) и с использованием сертифицированного прибора. Гипертензия на приеме у врача определяется как систолическое АД ≥140 мм рт.ст. и / или диастолическое АД ≥90 мм рт.ст. АД, измеренное не на приеме у врача, т.е. домашнее мониторирование АД, либо амбулаторное мониторирование АД (по возможности медицинской организации) является важным дополнением к стандартному измерению АД на приеме у врача, которое является показателем для исключения нормального АД, измеренное не на приеме у врача (в случае артериальной гипертензии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белого халата</w:t>
      </w:r>
      <w:r>
        <w:rPr>
          <w:rFonts w:ascii="Calibri" w:hAnsi="Calibri" w:cs="Calibri"/>
          <w:lang w:val="en-US"/>
        </w:rPr>
        <w:t xml:space="preserve">»). </w:t>
      </w:r>
      <w:r>
        <w:rPr>
          <w:rFonts w:ascii="Calibri" w:hAnsi="Calibri" w:cs="Calibri"/>
        </w:rPr>
        <w:t xml:space="preserve">Предельным значением для домашнего АД (или дневного амбулаторного АД) является 135/85 мм рт.ст.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3: Определение гипертензии по уровням измерения АД на приеме у врача и не на приеме у врача</w:t>
      </w:r>
    </w:p>
    <w:tbl>
      <w:tblPr>
        <w:tblW w:w="0" w:type="auto"/>
        <w:tblInd w:w="216" w:type="dxa"/>
        <w:tblLayout w:type="fixed"/>
        <w:tblLook w:val="0000"/>
      </w:tblPr>
      <w:tblGrid>
        <w:gridCol w:w="3402"/>
        <w:gridCol w:w="1843"/>
        <w:gridCol w:w="851"/>
        <w:gridCol w:w="1984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Категория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Систолическое АД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(</w:t>
            </w:r>
            <w:r>
              <w:rPr>
                <w:rFonts w:ascii="Calibri" w:hAnsi="Calibri" w:cs="Calibri"/>
                <w:b/>
                <w:bCs/>
              </w:rPr>
              <w:t>мм.рт.ст.)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Диастолическое АД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(</w:t>
            </w:r>
            <w:r>
              <w:rPr>
                <w:rFonts w:ascii="Calibri" w:hAnsi="Calibri" w:cs="Calibri"/>
                <w:b/>
                <w:bCs/>
              </w:rPr>
              <w:t>мм.рт.ст.)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АД на приеме у врача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≥140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≥90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Амбулаторное АД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   </w:t>
            </w:r>
            <w:r>
              <w:rPr>
                <w:rFonts w:ascii="Calibri" w:hAnsi="Calibri" w:cs="Calibri"/>
              </w:rPr>
              <w:t xml:space="preserve">Дневное время (или период </w:t>
            </w:r>
            <w:r>
              <w:rPr>
                <w:rFonts w:ascii="Calibri" w:hAnsi="Calibri" w:cs="Calibri"/>
              </w:rPr>
              <w:lastRenderedPageBreak/>
              <w:t xml:space="preserve">бодрствования)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>≥135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≥85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lastRenderedPageBreak/>
              <w:t xml:space="preserve">   </w:t>
            </w:r>
            <w:r>
              <w:rPr>
                <w:rFonts w:ascii="Calibri" w:hAnsi="Calibri" w:cs="Calibri"/>
              </w:rPr>
              <w:t>Ночное время (или период сна)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≥120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≥70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   </w:t>
            </w:r>
            <w:r>
              <w:rPr>
                <w:rFonts w:ascii="Calibri" w:hAnsi="Calibri" w:cs="Calibri"/>
              </w:rPr>
              <w:t>Суточное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≥130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≥80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Домашнее АД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≥135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≥85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АД= артериальное давление. 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1"/>
          <w:szCs w:val="11"/>
          <w:u w:val="single"/>
        </w:rPr>
      </w:pPr>
      <w:r>
        <w:rPr>
          <w:rFonts w:ascii="Calibri" w:hAnsi="Calibri" w:cs="Calibri"/>
          <w:sz w:val="18"/>
          <w:szCs w:val="18"/>
          <w:u w:val="single"/>
        </w:rPr>
        <w:t>Источник: Адаптированный материал Руководства ЕОК по Артериальной гипертензии (</w:t>
      </w:r>
      <w:r>
        <w:rPr>
          <w:rFonts w:ascii="Calibri" w:hAnsi="Calibri" w:cs="Calibri"/>
          <w:spacing w:val="-1"/>
          <w:sz w:val="18"/>
          <w:szCs w:val="18"/>
          <w:u w:val="single"/>
        </w:rPr>
        <w:t>Т</w:t>
      </w:r>
      <w:r>
        <w:rPr>
          <w:rFonts w:ascii="Calibri" w:hAnsi="Calibri" w:cs="Calibri"/>
          <w:spacing w:val="1"/>
          <w:sz w:val="18"/>
          <w:szCs w:val="18"/>
          <w:u w:val="single"/>
        </w:rPr>
        <w:t>а</w:t>
      </w:r>
      <w:r>
        <w:rPr>
          <w:rFonts w:ascii="Calibri" w:hAnsi="Calibri" w:cs="Calibri"/>
          <w:spacing w:val="-1"/>
          <w:sz w:val="18"/>
          <w:szCs w:val="18"/>
          <w:u w:val="single"/>
        </w:rPr>
        <w:t>бл</w:t>
      </w:r>
      <w:r>
        <w:rPr>
          <w:rFonts w:ascii="Calibri" w:hAnsi="Calibri" w:cs="Calibri"/>
          <w:spacing w:val="3"/>
          <w:sz w:val="18"/>
          <w:szCs w:val="18"/>
          <w:u w:val="single"/>
        </w:rPr>
        <w:t>и</w:t>
      </w:r>
      <w:r>
        <w:rPr>
          <w:rFonts w:ascii="Calibri" w:hAnsi="Calibri" w:cs="Calibri"/>
          <w:sz w:val="18"/>
          <w:szCs w:val="18"/>
          <w:u w:val="single"/>
        </w:rPr>
        <w:t>ца</w:t>
      </w:r>
      <w:r>
        <w:rPr>
          <w:rFonts w:ascii="Calibri" w:hAnsi="Calibri" w:cs="Calibri"/>
          <w:spacing w:val="-6"/>
          <w:sz w:val="18"/>
          <w:szCs w:val="18"/>
          <w:u w:val="single"/>
        </w:rPr>
        <w:t xml:space="preserve"> </w:t>
      </w:r>
      <w:r>
        <w:rPr>
          <w:rFonts w:ascii="Calibri" w:hAnsi="Calibri" w:cs="Calibri"/>
          <w:sz w:val="18"/>
          <w:szCs w:val="18"/>
          <w:u w:val="single"/>
        </w:rPr>
        <w:t>6,</w:t>
      </w:r>
      <w:r>
        <w:rPr>
          <w:rFonts w:ascii="Calibri" w:hAnsi="Calibri" w:cs="Calibri"/>
          <w:spacing w:val="-1"/>
          <w:sz w:val="18"/>
          <w:szCs w:val="18"/>
          <w:u w:val="single"/>
        </w:rPr>
        <w:t xml:space="preserve"> </w:t>
      </w:r>
      <w:r>
        <w:rPr>
          <w:rFonts w:ascii="Calibri" w:hAnsi="Calibri" w:cs="Calibri"/>
          <w:sz w:val="18"/>
          <w:szCs w:val="18"/>
          <w:u w:val="single"/>
        </w:rPr>
        <w:t>ст</w:t>
      </w:r>
      <w:r>
        <w:rPr>
          <w:rFonts w:ascii="Calibri" w:hAnsi="Calibri" w:cs="Calibri"/>
          <w:spacing w:val="1"/>
          <w:sz w:val="18"/>
          <w:szCs w:val="18"/>
          <w:u w:val="single"/>
        </w:rPr>
        <w:t>р</w:t>
      </w:r>
      <w:r>
        <w:rPr>
          <w:rFonts w:ascii="Calibri" w:hAnsi="Calibri" w:cs="Calibri"/>
          <w:sz w:val="18"/>
          <w:szCs w:val="18"/>
          <w:u w:val="single"/>
        </w:rPr>
        <w:t>.</w:t>
      </w:r>
      <w:r>
        <w:rPr>
          <w:rFonts w:ascii="Calibri" w:hAnsi="Calibri" w:cs="Calibri"/>
          <w:spacing w:val="-2"/>
          <w:sz w:val="18"/>
          <w:szCs w:val="18"/>
          <w:u w:val="single"/>
        </w:rPr>
        <w:t xml:space="preserve"> </w:t>
      </w:r>
      <w:r>
        <w:rPr>
          <w:rFonts w:ascii="Calibri" w:hAnsi="Calibri" w:cs="Calibri"/>
          <w:sz w:val="18"/>
          <w:szCs w:val="18"/>
          <w:u w:val="single"/>
        </w:rPr>
        <w:t>129</w:t>
      </w:r>
      <w:r>
        <w:rPr>
          <w:rFonts w:ascii="Calibri" w:hAnsi="Calibri" w:cs="Calibri"/>
          <w:spacing w:val="2"/>
          <w:sz w:val="18"/>
          <w:szCs w:val="18"/>
          <w:u w:val="single"/>
        </w:rPr>
        <w:t>0</w:t>
      </w:r>
      <w:r>
        <w:rPr>
          <w:rFonts w:ascii="Calibri" w:hAnsi="Calibri" w:cs="Calibri"/>
          <w:sz w:val="18"/>
          <w:szCs w:val="18"/>
          <w:u w:val="single"/>
        </w:rPr>
        <w:t>).  2013 г.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18"/>
          <w:szCs w:val="18"/>
          <w:u w:val="single"/>
          <w:vertAlign w:val="superscript"/>
        </w:rPr>
        <w:t>1</w:t>
      </w:r>
      <w:r>
        <w:rPr>
          <w:rFonts w:ascii="Calibri" w:hAnsi="Calibri" w:cs="Calibri"/>
          <w:sz w:val="18"/>
          <w:szCs w:val="18"/>
          <w:u w:val="single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2.3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Категории АГ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таблице ниже (из КР ЕОК) перечислены различные категории гипертензии и связанные критерии.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Таблица 4:  Определения и классификация уровней амбулаторного АД (мм.рт.ст.) </w:t>
      </w:r>
    </w:p>
    <w:tbl>
      <w:tblPr>
        <w:tblW w:w="0" w:type="auto"/>
        <w:tblInd w:w="216" w:type="dxa"/>
        <w:tblLayout w:type="fixed"/>
        <w:tblLook w:val="0000"/>
      </w:tblPr>
      <w:tblGrid>
        <w:gridCol w:w="3402"/>
        <w:gridCol w:w="1638"/>
        <w:gridCol w:w="993"/>
        <w:gridCol w:w="1778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Категории АД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Систолическое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Диастолическое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Оптимальное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&lt;120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&lt;80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Нормальное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120–129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80–84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Высокое нормальное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130–139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85–89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АГ 1 степени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140–159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90–99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АГ 2 степени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160–179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100–109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АГ 3 степени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≥180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и/или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≥110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Изолированная систолическая АГ</w:t>
            </w:r>
          </w:p>
        </w:tc>
        <w:tc>
          <w:tcPr>
            <w:tcW w:w="16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≥140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и</w:t>
            </w:r>
          </w:p>
        </w:tc>
        <w:tc>
          <w:tcPr>
            <w:tcW w:w="1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&lt;90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Категория АД (артериальное давление) определяется самым высоким уровнем АД, систолическим или диастолическим. Изолированная систолическая артериальная гипертензия (ИСАГ) должна классифицироваться по 1, 2, или 3 степеням в соответствии со значениями систолического АД в обозначенных пределах.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</w:t>
      </w:r>
      <w:r>
        <w:rPr>
          <w:rFonts w:ascii="Calibri" w:hAnsi="Calibri" w:cs="Calibri"/>
          <w:spacing w:val="-1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pacing w:val="-1"/>
          <w:sz w:val="20"/>
          <w:szCs w:val="20"/>
        </w:rPr>
        <w:t>бл</w:t>
      </w:r>
      <w:r>
        <w:rPr>
          <w:rFonts w:ascii="Calibri" w:hAnsi="Calibri" w:cs="Calibri"/>
          <w:spacing w:val="3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ца</w:t>
      </w:r>
      <w:r>
        <w:rPr>
          <w:rFonts w:ascii="Calibri" w:hAnsi="Calibri" w:cs="Calibri"/>
          <w:spacing w:val="-6"/>
          <w:sz w:val="20"/>
          <w:szCs w:val="20"/>
        </w:rPr>
        <w:t xml:space="preserve"> 3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ст</w:t>
      </w:r>
      <w:r>
        <w:rPr>
          <w:rFonts w:ascii="Calibri" w:hAnsi="Calibri" w:cs="Calibri"/>
          <w:spacing w:val="1"/>
          <w:sz w:val="20"/>
          <w:szCs w:val="20"/>
        </w:rPr>
        <w:t>р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1286). 2013 г.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>1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2.4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Исследования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2.4.1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Стандартные базовые исследования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Таблица 5 включает список рутинных исследований, которые должны быть проведены для всех новых пациентов с выявленным АГ.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Таблица 5:  Рутинные тесты для пациентов с вновь выявленной гипертензией </w:t>
      </w:r>
    </w:p>
    <w:tbl>
      <w:tblPr>
        <w:tblW w:w="0" w:type="auto"/>
        <w:tblInd w:w="216" w:type="dxa"/>
        <w:tblLayout w:type="fixed"/>
        <w:tblLook w:val="0000"/>
      </w:tblPr>
      <w:tblGrid>
        <w:gridCol w:w="9214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Рутинные тесты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гемоглобин и/или гематокрит.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содержание в плазме крови глюкозы (натощак).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ОСХ (общий сывороточный холестерол), холестерол ЛПНП, холестерол ЛПВП.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содержание в сыворотке крови ТГ (натощак)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содержание в сыворотке крови калия  и натрия.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 xml:space="preserve">• </w:t>
            </w:r>
            <w:r>
              <w:rPr>
                <w:rFonts w:ascii="Calibri" w:hAnsi="Calibri" w:cs="Calibri"/>
              </w:rPr>
              <w:t>содержание в сыворотке крови мочевой кислоты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Arial CYR" w:hAnsi="Arial CYR" w:cs="Arial CYR"/>
                <w:sz w:val="20"/>
                <w:szCs w:val="20"/>
              </w:rPr>
              <w:t>уровень креатинина сыворотки с подсчетом скорости клубочковой фильтрации.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Анализ мочи: микроскопическое исследование; анализ тест-полосками на белок в моче; анализ на микроальбуминурию.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ЭКГ в 12 отведениях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</w:t>
      </w:r>
      <w:r>
        <w:rPr>
          <w:rFonts w:ascii="Calibri" w:hAnsi="Calibri" w:cs="Calibri"/>
          <w:spacing w:val="-1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pacing w:val="-1"/>
          <w:sz w:val="20"/>
          <w:szCs w:val="20"/>
        </w:rPr>
        <w:t>бл</w:t>
      </w:r>
      <w:r>
        <w:rPr>
          <w:rFonts w:ascii="Calibri" w:hAnsi="Calibri" w:cs="Calibri"/>
          <w:spacing w:val="3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ца</w:t>
      </w:r>
      <w:r>
        <w:rPr>
          <w:rFonts w:ascii="Calibri" w:hAnsi="Calibri" w:cs="Calibri"/>
          <w:spacing w:val="-6"/>
          <w:sz w:val="20"/>
          <w:szCs w:val="20"/>
        </w:rPr>
        <w:t xml:space="preserve"> 10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ст</w:t>
      </w:r>
      <w:r>
        <w:rPr>
          <w:rFonts w:ascii="Calibri" w:hAnsi="Calibri" w:cs="Calibri"/>
          <w:spacing w:val="1"/>
          <w:sz w:val="20"/>
          <w:szCs w:val="20"/>
        </w:rPr>
        <w:t>р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1295).  2013 г.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>1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2.4.2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Дополнительные исследования для рассмотрения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Дополнительные исследования могут быть назначены, в зависимости от анамнеза, физикального обследования и результатов рутинных тестов, указанных выше.</w:t>
      </w:r>
      <w:r>
        <w:rPr>
          <w:rFonts w:ascii="Calibri" w:hAnsi="Calibri" w:cs="Calibri"/>
          <w:lang w:val="en-US"/>
        </w:rPr>
        <w:t> </w:t>
      </w:r>
      <w:r>
        <w:rPr>
          <w:rFonts w:ascii="Calibri" w:hAnsi="Calibri" w:cs="Calibri"/>
        </w:rPr>
        <w:t>Они должны быть проведены в целях выявления важных сопутствующих заболеваний, в случае подозрения на их наличие (например, диабет, сердечно-сосудистые заболевания) или наличие повреждения органов-мишеней.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Таблица 6: Дополнительные исследования</w:t>
      </w:r>
    </w:p>
    <w:tbl>
      <w:tblPr>
        <w:tblW w:w="0" w:type="auto"/>
        <w:tblInd w:w="216" w:type="dxa"/>
        <w:tblLayout w:type="fixed"/>
        <w:tblLook w:val="0000"/>
      </w:tblPr>
      <w:tblGrid>
        <w:gridCol w:w="4678"/>
        <w:gridCol w:w="4961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63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Дополнительные исследования, основанные на анамнезе, физикальном обследовании, и результатах рутинных лабораторных тестов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Назначить анализ на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При наличии данных обстоятельств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 xml:space="preserve">Гликированный гемоглобин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 содержании глюкозы в плазме &gt;5.6 ммоль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/</w:t>
            </w:r>
            <w:r>
              <w:rPr>
                <w:rFonts w:ascii="Calibri" w:hAnsi="Calibri" w:cs="Calibri"/>
              </w:rPr>
              <w:t>л (102 мг/дл) или предшествующем диагнозе диабета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Мочевой калий и концентрация натрия, а также их коэффициент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Если анализ мочи тест-полосками положительный.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Домашнее и суточное мониторинг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При подозрении на синдром </w:t>
            </w:r>
            <w:r>
              <w:rPr>
                <w:rFonts w:ascii="Calibri" w:hAnsi="Calibri" w:cs="Calibri"/>
                <w:lang w:val="en-US"/>
              </w:rPr>
              <w:t>«</w:t>
            </w:r>
            <w:r>
              <w:rPr>
                <w:rFonts w:ascii="Calibri" w:hAnsi="Calibri" w:cs="Calibri"/>
              </w:rPr>
              <w:t>белого халата</w:t>
            </w:r>
            <w:r>
              <w:rPr>
                <w:rFonts w:ascii="Calibri" w:hAnsi="Calibri" w:cs="Calibri"/>
                <w:lang w:val="en-US"/>
              </w:rPr>
              <w:t>»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 xml:space="preserve">Эхокардиограмма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подозрении на ГЛЖ по результатам ЭКГ, выраженном сердечном шуме, указывающем на вальвулярные нарушения, одышку, указывающую на ССЗ.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Суточный мониторинг по Холтеру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жалобах пациента на учащенное сердцебиение.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 xml:space="preserve">Нагрузочная проба 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жалобах пациента на боль в груди, указывающую на стенокардию.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Каротидный ультразвук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При шуме в ушах, или предшествующей ТИА. 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Периферийная артерия/УЗИ органов брюшной полости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абдоминальном шуме, предполагающем стеноз почечной артерии, или боли в ногах в при физической нагрузке, предполагающей заболевание периферических артерий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Скорость пульсовой волны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подозрении на атеросклероз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Лодыжечно-плечевой индекс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подозрении на заболевание периферических артерий.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Осмотр глазного дна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При подозрении на зрительное расстройство или ретинопатию вследствие диабета или гипертензии в тяжелой форме.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Детализированная оценка (в основном узкими специалистами)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 xml:space="preserve">Дальнейшее исследование поражений </w:t>
            </w:r>
            <w:r>
              <w:rPr>
                <w:rFonts w:ascii="Calibri" w:hAnsi="Calibri" w:cs="Calibri"/>
              </w:rPr>
              <w:lastRenderedPageBreak/>
              <w:t>мозга, сердца, почек, сосудов, обязательное в случае устойчивой и осложненной гипертензии.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lastRenderedPageBreak/>
              <w:t xml:space="preserve">• </w:t>
            </w:r>
            <w:r>
              <w:rPr>
                <w:rFonts w:ascii="Calibri" w:hAnsi="Calibri" w:cs="Calibri"/>
              </w:rPr>
              <w:t>Исследование вторичной артериальной гипертензии упомянутой в анамнезе, при физикальном обследовании, либо рутинных или дополнительных исследованиях.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АД = артериальное давление; ЭКГ = электрокардиограмма; СКФ = скорость клубочковой фильтрации.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</w:t>
      </w:r>
      <w:r>
        <w:rPr>
          <w:rFonts w:ascii="Calibri" w:hAnsi="Calibri" w:cs="Calibri"/>
          <w:spacing w:val="-1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pacing w:val="-1"/>
          <w:sz w:val="20"/>
          <w:szCs w:val="20"/>
        </w:rPr>
        <w:t>бл</w:t>
      </w:r>
      <w:r>
        <w:rPr>
          <w:rFonts w:ascii="Calibri" w:hAnsi="Calibri" w:cs="Calibri"/>
          <w:spacing w:val="3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ца</w:t>
      </w:r>
      <w:r>
        <w:rPr>
          <w:rFonts w:ascii="Calibri" w:hAnsi="Calibri" w:cs="Calibri"/>
          <w:spacing w:val="-6"/>
          <w:sz w:val="20"/>
          <w:szCs w:val="20"/>
        </w:rPr>
        <w:t xml:space="preserve"> 10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ст</w:t>
      </w:r>
      <w:r>
        <w:rPr>
          <w:rFonts w:ascii="Calibri" w:hAnsi="Calibri" w:cs="Calibri"/>
          <w:spacing w:val="1"/>
          <w:sz w:val="20"/>
          <w:szCs w:val="20"/>
        </w:rPr>
        <w:t>р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1295).  2013 г.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>1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2.5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Факторы риска сердечно-сосудистых заболеваний и наличие поражений органов и сопутствующих клинических состояний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Врачи должны документировать, имеет ли пациент какие-либо из следующих факторов риска ССЗ, а также любой из признаков, симптомов или результатов лабораторных исследований, которые предполагают повреждение органа вследствие гипертензии или преобладающих сопутствующих заболеваний: хронической почечной недостаточности, сахарного диабета и сердечно-сосудистых заболеваний. Данная информация необходима для определения уровня риска сердечно-сосудистых заболеваний у пациента.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7: Факторы риска ССЗ, поражений органов-мишеней и сопутствующих клинических состояний</w:t>
      </w:r>
    </w:p>
    <w:tbl>
      <w:tblPr>
        <w:tblW w:w="0" w:type="auto"/>
        <w:tblInd w:w="108" w:type="dxa"/>
        <w:tblLayout w:type="fixed"/>
        <w:tblLook w:val="0000"/>
      </w:tblPr>
      <w:tblGrid>
        <w:gridCol w:w="349"/>
        <w:gridCol w:w="3615"/>
        <w:gridCol w:w="284"/>
        <w:gridCol w:w="349"/>
        <w:gridCol w:w="4896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Факторы риска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Поражение органов / ХПН / СД / ССЗ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Мужчины</w:t>
            </w:r>
          </w:p>
        </w:tc>
        <w:tc>
          <w:tcPr>
            <w:tcW w:w="2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Поражение органа, атеросклероза:  </w:t>
            </w:r>
            <w:r>
              <w:rPr>
                <w:rFonts w:ascii="Calibri" w:hAnsi="Calibri" w:cs="Calibri"/>
                <w:sz w:val="20"/>
                <w:szCs w:val="20"/>
              </w:rPr>
              <w:t>Пульсовое АД у пожилых пациентов&gt;= 60 мм рт.ст. или утолщение стенки сонной артерии (ТИМ&gt;0.9мм) или атеросклеротическая бляшка или скорость каротидно-феморальной пульсовой волны &gt; 10 м/сек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Возраст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(мужчины &gt;=55 лет, женщины &gt;= 65 лет)</w:t>
            </w:r>
          </w:p>
        </w:tc>
        <w:tc>
          <w:tcPr>
            <w:tcW w:w="28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89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Статус курильщика</w:t>
            </w:r>
          </w:p>
        </w:tc>
        <w:tc>
          <w:tcPr>
            <w:tcW w:w="28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89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Дислипидемия</w:t>
            </w:r>
            <w:r>
              <w:rPr>
                <w:rFonts w:ascii="Calibri" w:hAnsi="Calibri" w:cs="Calibri"/>
                <w:sz w:val="20"/>
                <w:szCs w:val="20"/>
              </w:rPr>
              <w:t>:  Общий Хол &gt; 4.9 ммоль/л или ЛПНП &gt; 3.0 или ЛПВП &lt;1.0 (мужчины, &lt;1.2 (женщины) или ТГ &gt; 1.7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Поражение органа, ГЛЖ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по результатам ЭКГ или эхокардиографии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61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Почечная болезнь, III стадия</w:t>
            </w:r>
            <w:r>
              <w:rPr>
                <w:rFonts w:ascii="Calibri" w:hAnsi="Calibri" w:cs="Calibri"/>
                <w:sz w:val="20"/>
                <w:szCs w:val="20"/>
              </w:rPr>
              <w:t>:  рСКФ 30-60 или микроальбуминурия 30-300 мг/сутки, соотношение альбумин/креатинин 30-300 мг/г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Проба на толератнтность к глюкозе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или содержание глюкозы в плазме натощак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5.6-6.9 ммоль/л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Почечная, болезнь IV стадия</w:t>
            </w:r>
            <w:r>
              <w:rPr>
                <w:rFonts w:ascii="Calibri" w:hAnsi="Calibri" w:cs="Calibri"/>
                <w:sz w:val="20"/>
                <w:szCs w:val="20"/>
              </w:rPr>
              <w:t>: рСКФ &lt; 30 или микроальбуминурия &gt; 300мг /сутки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Семейный анамнез ранних ССЗ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(мужчины &lt; 55 лет, женщины  &lt; 65 лет)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Сахарный диабет: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глюкоза в плазме натощак &gt;7.0 в двух случаях или гликированный гемоглобин &gt; .065 или 2-часовой тест на толерантность к глюкозе &gt;11.0 ммоль/л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3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Ожирение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(ИМТ &gt;=30) или абдоминальное ожирение (окружность талии, мужчины &gt;102, женщины &gt;88 см)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□</w:t>
            </w:r>
          </w:p>
        </w:tc>
        <w:tc>
          <w:tcPr>
            <w:tcW w:w="4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Сердечно-сосудистые заболевания:</w:t>
            </w:r>
          </w:p>
          <w:p w:rsidR="002C3465" w:rsidRDefault="002C3465" w:rsidP="002C34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08" w:hanging="3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Инсульт или ТИА, ХСН, заболевание периферических артерий</w:t>
            </w:r>
          </w:p>
          <w:p w:rsidR="002C3465" w:rsidRDefault="002C3465" w:rsidP="002C34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08" w:hanging="36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ИБС: ОИМ, стенокардия, предшествующие ЧКВ или АКШ</w:t>
            </w:r>
          </w:p>
          <w:p w:rsidR="002C3465" w:rsidRDefault="002C3465" w:rsidP="002C346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08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Прогрессирующая ретинопатия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lastRenderedPageBreak/>
        <w:t xml:space="preserve">ИМТ – индекс массы тела; АД – артериальное давление; ППТ – площадь поверхности тела;  АКШ – аортокоронарное шунтирование; ИБС – ишемическая болезнь сердца; ХБП – хроническая болезнь почек; СС – сердечно-сосудистый; ССЗ – сердечно-сосудистое заболевание; ФВ – фракция выброса; РСКФ – расчетная скорость клубочковой фильтрации; ГГ - Гликированный гемоглобин; ТИМ – толщина слоя интима-медиа; ГЛЖ – гипертрофия левого желудочка; ММЛЖ – масса миокарда левого желудочка; ЧКВ – чрескожное коронарное вмешательство; СПВ – скорость пульсовой волны. 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z w:val="20"/>
          <w:szCs w:val="20"/>
        </w:rPr>
        <w:t>Источник: Адаптированный материал Руководства ЕОК по Артериальной гипертензии (</w:t>
      </w:r>
      <w:r>
        <w:rPr>
          <w:rFonts w:ascii="Calibri" w:hAnsi="Calibri" w:cs="Calibri"/>
          <w:spacing w:val="-1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pacing w:val="-1"/>
          <w:sz w:val="20"/>
          <w:szCs w:val="20"/>
        </w:rPr>
        <w:t>бл</w:t>
      </w:r>
      <w:r>
        <w:rPr>
          <w:rFonts w:ascii="Calibri" w:hAnsi="Calibri" w:cs="Calibri"/>
          <w:spacing w:val="3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ца</w:t>
      </w:r>
      <w:r>
        <w:rPr>
          <w:rFonts w:ascii="Calibri" w:hAnsi="Calibri" w:cs="Calibri"/>
          <w:spacing w:val="-6"/>
          <w:sz w:val="20"/>
          <w:szCs w:val="20"/>
        </w:rPr>
        <w:t xml:space="preserve"> 4</w:t>
      </w:r>
      <w:r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ст</w:t>
      </w:r>
      <w:r>
        <w:rPr>
          <w:rFonts w:ascii="Calibri" w:hAnsi="Calibri" w:cs="Calibri"/>
          <w:spacing w:val="1"/>
          <w:sz w:val="20"/>
          <w:szCs w:val="20"/>
        </w:rPr>
        <w:t>р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1288). 2013 г.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20"/>
          <w:szCs w:val="20"/>
          <w:vertAlign w:val="superscript"/>
        </w:rPr>
        <w:t>1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2.6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Расчет уровня риска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Пациенты должны быть классифицированы и определены по их риску сердечно-сосудистых заболеваний как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низкий</w:t>
      </w:r>
      <w:r>
        <w:rPr>
          <w:rFonts w:ascii="Calibri" w:hAnsi="Calibri" w:cs="Calibri"/>
          <w:lang w:val="en-US"/>
        </w:rPr>
        <w:t>», «</w:t>
      </w:r>
      <w:r>
        <w:rPr>
          <w:rFonts w:ascii="Calibri" w:hAnsi="Calibri" w:cs="Calibri"/>
        </w:rPr>
        <w:t>умеренный</w:t>
      </w:r>
      <w:r>
        <w:rPr>
          <w:rFonts w:ascii="Calibri" w:hAnsi="Calibri" w:cs="Calibri"/>
          <w:lang w:val="en-US"/>
        </w:rPr>
        <w:t>», «</w:t>
      </w:r>
      <w:r>
        <w:rPr>
          <w:rFonts w:ascii="Calibri" w:hAnsi="Calibri" w:cs="Calibri"/>
        </w:rPr>
        <w:t>высокий</w:t>
      </w:r>
      <w:r>
        <w:rPr>
          <w:rFonts w:ascii="Calibri" w:hAnsi="Calibri" w:cs="Calibri"/>
          <w:lang w:val="en-US"/>
        </w:rPr>
        <w:t xml:space="preserve">» </w:t>
      </w:r>
      <w:r>
        <w:rPr>
          <w:rFonts w:ascii="Calibri" w:hAnsi="Calibri" w:cs="Calibri"/>
        </w:rPr>
        <w:t xml:space="preserve">или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очень высокий</w:t>
      </w:r>
      <w:r>
        <w:rPr>
          <w:rFonts w:ascii="Calibri" w:hAnsi="Calibri" w:cs="Calibri"/>
          <w:lang w:val="en-US"/>
        </w:rPr>
        <w:t xml:space="preserve">» </w:t>
      </w:r>
      <w:r>
        <w:rPr>
          <w:rFonts w:ascii="Calibri" w:hAnsi="Calibri" w:cs="Calibri"/>
        </w:rPr>
        <w:t>с помощью таблицы ниже. Данный уровень риска имеет важное значение в выборе и времени приема</w:t>
      </w:r>
      <w:r>
        <w:rPr>
          <w:rFonts w:ascii="Calibri" w:hAnsi="Calibri" w:cs="Calibri"/>
          <w:lang w:val="en-US"/>
        </w:rPr>
        <w:t xml:space="preserve">  </w:t>
      </w:r>
      <w:r>
        <w:rPr>
          <w:rFonts w:ascii="Calibri" w:hAnsi="Calibri" w:cs="Calibri"/>
        </w:rPr>
        <w:t>определенных препаратов.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8: Классификация риска ССЗ</w:t>
      </w:r>
    </w:p>
    <w:tbl>
      <w:tblPr>
        <w:tblW w:w="0" w:type="auto"/>
        <w:tblInd w:w="108" w:type="dxa"/>
        <w:tblLayout w:type="fixed"/>
        <w:tblLook w:val="0000"/>
      </w:tblPr>
      <w:tblGrid>
        <w:gridCol w:w="9576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 xml:space="preserve">Классификация риска сердечно-сосудистых заболеваний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5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tbl>
            <w:tblPr>
              <w:tblW w:w="0" w:type="auto"/>
              <w:tblLayout w:type="fixed"/>
              <w:tblLook w:val="0000"/>
            </w:tblPr>
            <w:tblGrid>
              <w:gridCol w:w="2009"/>
              <w:gridCol w:w="1845"/>
              <w:gridCol w:w="1834"/>
              <w:gridCol w:w="1834"/>
              <w:gridCol w:w="1828"/>
            </w:tblGrid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Другие факторы риска,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бессимптомное поражение органов</w:t>
                  </w:r>
                </w:p>
              </w:tc>
              <w:tc>
                <w:tcPr>
                  <w:tcW w:w="7341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Артериальное давление (мм рт.ст.)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Высокое нормальное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САД 130–139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или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ДАД 85–89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1 </w:t>
                  </w:r>
                  <w:r>
                    <w:rPr>
                      <w:rFonts w:ascii="Calibri" w:hAnsi="Calibri" w:cs="Calibri"/>
                    </w:rPr>
                    <w:t>степень АГ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САД 140–159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или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ДАД 90–99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2 </w:t>
                  </w:r>
                  <w:r>
                    <w:rPr>
                      <w:rFonts w:ascii="Calibri" w:hAnsi="Calibri" w:cs="Calibri"/>
                    </w:rPr>
                    <w:t>степень АГ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САД 160–179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или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ДАД 100–109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3 </w:t>
                  </w:r>
                  <w:r>
                    <w:rPr>
                      <w:rFonts w:ascii="Calibri" w:hAnsi="Calibri" w:cs="Calibri"/>
                    </w:rPr>
                    <w:t>степень АГ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САД ≥180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или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ДАД ≥110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Нет других  факторов риска</w:t>
                  </w: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Низкий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Средний риск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1–2 </w:t>
                  </w:r>
                  <w:r>
                    <w:rPr>
                      <w:rFonts w:ascii="Calibri" w:hAnsi="Calibri" w:cs="Calibri"/>
                    </w:rPr>
                    <w:t>фактора риска</w:t>
                  </w: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Низкий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Средний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Умеренно высокий риск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≥3  </w:t>
                  </w:r>
                  <w:r>
                    <w:rPr>
                      <w:rFonts w:ascii="Calibri" w:hAnsi="Calibri" w:cs="Calibri"/>
                    </w:rPr>
                    <w:t>факторов риска</w:t>
                  </w: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Умеренный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Умеренно высокий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ПО, ХБП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lang w:val="en-US"/>
                    </w:rPr>
                    <w:t xml:space="preserve">3 </w:t>
                  </w:r>
                  <w:r>
                    <w:rPr>
                      <w:rFonts w:ascii="Calibri" w:hAnsi="Calibri" w:cs="Calibri"/>
                    </w:rPr>
                    <w:t>степени или диабет</w:t>
                  </w: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Умеренно высокий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Высокий риск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 xml:space="preserve">Очень высокий риск 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"/>
              </w:trPr>
              <w:tc>
                <w:tcPr>
                  <w:tcW w:w="20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 xml:space="preserve">Симптоматическое ССЗ, ХБП 4 и более степени или диабет с 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ПО/ФР</w:t>
                  </w:r>
                </w:p>
              </w:tc>
              <w:tc>
                <w:tcPr>
                  <w:tcW w:w="184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Очень высокий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Очень высокий риск</w:t>
                  </w:r>
                </w:p>
              </w:tc>
              <w:tc>
                <w:tcPr>
                  <w:tcW w:w="18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Очень высокий риск</w:t>
                  </w:r>
                </w:p>
              </w:tc>
              <w:tc>
                <w:tcPr>
                  <w:tcW w:w="18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 xml:space="preserve">Очень высокий риск </w:t>
                  </w:r>
                </w:p>
              </w:tc>
            </w:tr>
          </w:tbl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АД = артериальное давление; ХПБ = хроническая почечная болезнь; ССЗ = сердечно-сосудистые заболевания; ДАД = диастолическое артериальное давление; АГ = артериальная гипертензия; ПО = повреждение органа; ФР = фактор риска; САД = систолическое артериальное давление.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Факторы  риска включают возраст, пол, статус курения, дислипидемию, толерантность к глюкозе, ожирение и семейный анамнез ранних ССЗ. Бессимптомное поражение органов преимущественно включает гипертрофию левого желудочка, симптомы сосудистых поражений и микроальбуминурию.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z w:val="20"/>
          <w:szCs w:val="20"/>
        </w:rPr>
        <w:t xml:space="preserve">Источник:  Итоговая карта Руководства ЕОК (стр. 2). Европейское общество кардиологов [интернет]. Итоговая карта для общей практики. 2013г. [перепечатано 6 мая, 2015]. Доступно по ссылке: </w:t>
      </w:r>
      <w:hyperlink r:id="rId6" w:history="1">
        <w:r>
          <w:rPr>
            <w:rFonts w:ascii="Calibri" w:hAnsi="Calibri" w:cs="Calibri"/>
            <w:color w:val="0000FF"/>
            <w:sz w:val="20"/>
            <w:szCs w:val="20"/>
            <w:u w:val="single"/>
          </w:rPr>
          <w:t>http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://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www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escardio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org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Guidelines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lastRenderedPageBreak/>
          <w:t>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&amp;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Education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Clinical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Practice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Guidelines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Arterial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Hypertension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Management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of</w:t>
        </w:r>
      </w:hyperlink>
      <w:r>
        <w:rPr>
          <w:rFonts w:ascii="Calibri" w:hAnsi="Calibri" w:cs="Calibri"/>
          <w:sz w:val="20"/>
          <w:szCs w:val="20"/>
          <w:vertAlign w:val="superscript"/>
        </w:rPr>
        <w:t>3</w:t>
      </w:r>
      <w:r>
        <w:rPr>
          <w:rFonts w:ascii="Calibri" w:hAnsi="Calibri" w:cs="Calibri"/>
          <w:sz w:val="20"/>
          <w:szCs w:val="20"/>
        </w:rPr>
        <w:t xml:space="preserve"> 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spacing w:after="0" w:line="200" w:lineRule="atLeast"/>
        <w:rPr>
          <w:rFonts w:ascii="Calibri" w:hAnsi="Calibri" w:cs="Calibri"/>
          <w:sz w:val="20"/>
          <w:szCs w:val="2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24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2.7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Алгоритм по диагностике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Следующий алгоритм описывает предложенный вариант процесса постановки диагноза, классификации и разделения артериальной гипертензии на риски. </w:t>
      </w:r>
    </w:p>
    <w:p w:rsidR="002C3465" w:rsidRDefault="002C3465" w:rsidP="002C3465">
      <w:pPr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Рисунок 1: Алгоритм диагностики, классификации и разделения гипертензии на риски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5676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  <w:sz w:val="20"/>
          <w:szCs w:val="20"/>
        </w:rPr>
        <w:t>Источник: подготовлено консультантами CSIH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Ожидания: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время постановки диагноза </w:t>
      </w:r>
      <w:r>
        <w:rPr>
          <w:rFonts w:ascii="Calibri" w:hAnsi="Calibri" w:cs="Calibri"/>
          <w:lang w:val="en-US"/>
        </w:rPr>
        <w:t>«</w:t>
      </w:r>
      <w:r>
        <w:rPr>
          <w:rFonts w:ascii="Calibri" w:hAnsi="Calibri" w:cs="Calibri"/>
        </w:rPr>
        <w:t>артериальная гипертензия</w:t>
      </w:r>
      <w:r>
        <w:rPr>
          <w:rFonts w:ascii="Calibri" w:hAnsi="Calibri" w:cs="Calibri"/>
          <w:lang w:val="en-US"/>
        </w:rPr>
        <w:t xml:space="preserve">» </w:t>
      </w:r>
      <w:r>
        <w:rPr>
          <w:rFonts w:ascii="Calibri" w:hAnsi="Calibri" w:cs="Calibri"/>
        </w:rPr>
        <w:t>и, по крайней мере, один раз для всех пациентов, проходящих лечение по гипертензии, врачи должны документировать следующую информацию: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 w:hanging="360"/>
        <w:rPr>
          <w:rFonts w:ascii="Calibri" w:hAnsi="Calibri" w:cs="Calibri"/>
        </w:rPr>
      </w:pPr>
      <w:r>
        <w:rPr>
          <w:rFonts w:ascii="Calibri" w:hAnsi="Calibri" w:cs="Calibri"/>
        </w:rPr>
        <w:t>Категорию АГ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 w:hanging="360"/>
        <w:rPr>
          <w:rFonts w:ascii="Calibri" w:hAnsi="Calibri" w:cs="Calibri"/>
        </w:rPr>
      </w:pPr>
      <w:r>
        <w:rPr>
          <w:rFonts w:ascii="Calibri" w:hAnsi="Calibri" w:cs="Calibri"/>
        </w:rPr>
        <w:t>Какие факторы риска присутствуют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 w:hanging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Наличие следующих состояний: поражение органа, диабет, ССЗ или ХБП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 w:hanging="360"/>
        <w:rPr>
          <w:rFonts w:ascii="Calibri" w:hAnsi="Calibri" w:cs="Calibri"/>
        </w:rPr>
      </w:pPr>
      <w:r>
        <w:rPr>
          <w:rFonts w:ascii="Calibri" w:hAnsi="Calibri" w:cs="Calibri"/>
        </w:rPr>
        <w:t>Общий уровень риска (низкий, средний, высокий, очень высокий)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Для документирования вышеизложенной информации врачам следует использовать Таблицу 9. 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9</w:t>
      </w:r>
      <w:r>
        <w:rPr>
          <w:rFonts w:ascii="Calibri" w:hAnsi="Calibri" w:cs="Calibri"/>
        </w:rPr>
        <w:t xml:space="preserve">: </w:t>
      </w:r>
      <w:r>
        <w:rPr>
          <w:rFonts w:ascii="Calibri" w:hAnsi="Calibri" w:cs="Calibri"/>
          <w:b/>
          <w:bCs/>
        </w:rPr>
        <w:t xml:space="preserve">Бланк по диагностике и классификации гипертензии </w:t>
      </w:r>
    </w:p>
    <w:p w:rsidR="002C3465" w:rsidRDefault="002C3465" w:rsidP="002C3465">
      <w:pPr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tabs>
          <w:tab w:val="left" w:pos="950"/>
        </w:tabs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u w:val="single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u w:val="single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u w:val="single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u w:val="single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18"/>
          <w:szCs w:val="18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-567" w:right="-142"/>
        <w:rPr>
          <w:rFonts w:ascii="Calibri" w:hAnsi="Calibri" w:cs="Calibri"/>
          <w:sz w:val="14"/>
          <w:szCs w:val="1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-567" w:right="-142"/>
        <w:rPr>
          <w:rFonts w:ascii="Calibri" w:hAnsi="Calibri" w:cs="Calibri"/>
          <w:sz w:val="14"/>
          <w:szCs w:val="14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  <w:lang w:val="en-US"/>
        </w:rPr>
        <w:t xml:space="preserve">3. </w:t>
      </w:r>
      <w:r>
        <w:rPr>
          <w:rFonts w:ascii="Calibri" w:hAnsi="Calibri" w:cs="Calibri"/>
          <w:b/>
          <w:bCs/>
          <w:color w:val="000000"/>
        </w:rPr>
        <w:t>Лечение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Для получения подробной информации о лечении, обратитесь к следующим разделам в КР ЕОК:</w:t>
      </w:r>
    </w:p>
    <w:p w:rsidR="002C3465" w:rsidRDefault="002C3465" w:rsidP="002C3465">
      <w:pPr>
        <w:autoSpaceDE w:val="0"/>
        <w:autoSpaceDN w:val="0"/>
        <w:adjustRightInd w:val="0"/>
        <w:spacing w:after="0"/>
        <w:ind w:right="284" w:firstLine="34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• </w:t>
      </w:r>
      <w:r>
        <w:rPr>
          <w:rFonts w:ascii="Calibri" w:hAnsi="Calibri" w:cs="Calibri"/>
        </w:rPr>
        <w:t>Глава 4: Подход в лечении, страницы 1299 - 1306</w:t>
      </w:r>
    </w:p>
    <w:p w:rsidR="002C3465" w:rsidRDefault="002C3465" w:rsidP="002C3465">
      <w:pPr>
        <w:autoSpaceDE w:val="0"/>
        <w:autoSpaceDN w:val="0"/>
        <w:adjustRightInd w:val="0"/>
        <w:spacing w:after="0"/>
        <w:ind w:right="284" w:firstLine="34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• </w:t>
      </w:r>
      <w:r>
        <w:rPr>
          <w:rFonts w:ascii="Calibri" w:hAnsi="Calibri" w:cs="Calibri"/>
        </w:rPr>
        <w:t>Глава 5: Стратегии лечения, страницы 1306 - 1316</w:t>
      </w:r>
    </w:p>
    <w:p w:rsidR="002C3465" w:rsidRDefault="002C3465" w:rsidP="002C3465">
      <w:pPr>
        <w:autoSpaceDE w:val="0"/>
        <w:autoSpaceDN w:val="0"/>
        <w:adjustRightInd w:val="0"/>
        <w:spacing w:after="0"/>
        <w:ind w:right="284" w:firstLine="34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• </w:t>
      </w:r>
      <w:r>
        <w:rPr>
          <w:rFonts w:ascii="Calibri" w:hAnsi="Calibri" w:cs="Calibri"/>
        </w:rPr>
        <w:t>Глава 6:Стратегии лечения в особых условиях, страницы 1316 - 1331</w:t>
      </w:r>
    </w:p>
    <w:p w:rsidR="002C3465" w:rsidRDefault="002C3465" w:rsidP="002C3465">
      <w:pPr>
        <w:autoSpaceDE w:val="0"/>
        <w:autoSpaceDN w:val="0"/>
        <w:adjustRightInd w:val="0"/>
        <w:spacing w:after="0"/>
        <w:ind w:right="284" w:firstLine="340"/>
        <w:rPr>
          <w:rFonts w:ascii="Calibri" w:hAnsi="Calibri" w:cs="Calibri"/>
        </w:rPr>
      </w:pPr>
      <w:r>
        <w:rPr>
          <w:rFonts w:ascii="Calibri" w:hAnsi="Calibri" w:cs="Calibri"/>
          <w:lang w:val="en-US"/>
        </w:rPr>
        <w:t xml:space="preserve">• </w:t>
      </w:r>
      <w:r>
        <w:rPr>
          <w:rFonts w:ascii="Calibri" w:hAnsi="Calibri" w:cs="Calibri"/>
        </w:rPr>
        <w:t xml:space="preserve">Глава 7: Лечение сопутствующих факторов риска, страницы 1331 - 1332 </w:t>
      </w:r>
    </w:p>
    <w:p w:rsidR="002C3465" w:rsidRDefault="002C3465" w:rsidP="002C3465">
      <w:pPr>
        <w:autoSpaceDE w:val="0"/>
        <w:autoSpaceDN w:val="0"/>
        <w:adjustRightInd w:val="0"/>
        <w:spacing w:after="0"/>
        <w:ind w:right="284" w:firstLine="340"/>
        <w:rPr>
          <w:rFonts w:ascii="Calibri" w:hAnsi="Calibri" w:cs="Calibri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3.1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Цели лечения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Клинические руководства ЕОК рекомендуют целевой уровень АД 140/90. В попытке согласовать рекомендации по диабету и кардиологии, были приняты новейшие доказательства по целевому артериальному давлению из литературы по диабету, дополняющие рекомендации в руководствах ЕОК. Следовательно, рекомендованным целевым АД для больных с сахарным диабетом также является уровень 140/90. Руководства ЕОК также предлагают более гибкие цели для пожилых пациентов. Следующая таблица обобщает данные цели.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Таблица 10</w:t>
      </w:r>
      <w:r>
        <w:rPr>
          <w:rFonts w:ascii="Calibri" w:hAnsi="Calibri" w:cs="Calibri"/>
        </w:rPr>
        <w:t xml:space="preserve">: </w:t>
      </w:r>
      <w:r>
        <w:rPr>
          <w:rFonts w:ascii="Calibri" w:hAnsi="Calibri" w:cs="Calibri"/>
          <w:b/>
          <w:bCs/>
        </w:rPr>
        <w:t>Целевые уровни АД</w:t>
      </w:r>
    </w:p>
    <w:tbl>
      <w:tblPr>
        <w:tblW w:w="0" w:type="auto"/>
        <w:tblInd w:w="216" w:type="dxa"/>
        <w:tblLayout w:type="fixed"/>
        <w:tblLook w:val="0000"/>
      </w:tblPr>
      <w:tblGrid>
        <w:gridCol w:w="2722"/>
        <w:gridCol w:w="2694"/>
        <w:gridCol w:w="2381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Категория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Целевое систолическое АД</w:t>
            </w:r>
          </w:p>
        </w:tc>
        <w:tc>
          <w:tcPr>
            <w:tcW w:w="2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Целевое диастолическое АД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Большинство пациентов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 140</w:t>
            </w:r>
          </w:p>
        </w:tc>
        <w:tc>
          <w:tcPr>
            <w:tcW w:w="23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 90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Пациенты больные диабетом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 140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Сердечно-сосудистые заболевания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 140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&gt; 80 </w:t>
            </w:r>
            <w:r>
              <w:rPr>
                <w:rFonts w:ascii="Calibri" w:hAnsi="Calibri" w:cs="Calibri"/>
              </w:rPr>
              <w:t>лет, в хорошей физической форме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140-150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&gt;80 </w:t>
            </w:r>
            <w:r>
              <w:rPr>
                <w:rFonts w:ascii="Calibri" w:hAnsi="Calibri" w:cs="Calibri"/>
              </w:rPr>
              <w:t>лет, в плохой физической форме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Установите индивидуальную цель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65-79 </w:t>
            </w:r>
            <w:r>
              <w:rPr>
                <w:rFonts w:ascii="Calibri" w:hAnsi="Calibri" w:cs="Calibri"/>
              </w:rPr>
              <w:t>лет, в хорошей физической форме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&lt;140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7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65-79 </w:t>
            </w:r>
            <w:r>
              <w:rPr>
                <w:rFonts w:ascii="Calibri" w:hAnsi="Calibri" w:cs="Calibri"/>
              </w:rPr>
              <w:t>лет, в плохой физической форме</w:t>
            </w:r>
          </w:p>
        </w:tc>
        <w:tc>
          <w:tcPr>
            <w:tcW w:w="2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140-150</w:t>
            </w:r>
          </w:p>
        </w:tc>
        <w:tc>
          <w:tcPr>
            <w:tcW w:w="238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Ист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z w:val="18"/>
          <w:szCs w:val="18"/>
        </w:rPr>
        <w:t>ч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1"/>
          <w:sz w:val="18"/>
          <w:szCs w:val="18"/>
        </w:rPr>
        <w:t>к</w:t>
      </w:r>
      <w:r>
        <w:rPr>
          <w:rFonts w:ascii="Calibri" w:hAnsi="Calibri" w:cs="Calibri"/>
          <w:sz w:val="18"/>
          <w:szCs w:val="18"/>
        </w:rPr>
        <w:t>:</w:t>
      </w:r>
      <w:r>
        <w:rPr>
          <w:rFonts w:ascii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hAnsi="Calibri" w:cs="Calibri"/>
          <w:spacing w:val="2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д</w:t>
      </w:r>
      <w:r>
        <w:rPr>
          <w:rFonts w:ascii="Calibri" w:hAnsi="Calibri" w:cs="Calibri"/>
          <w:spacing w:val="1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п</w:t>
      </w:r>
      <w:r>
        <w:rPr>
          <w:rFonts w:ascii="Calibri" w:hAnsi="Calibri" w:cs="Calibri"/>
          <w:sz w:val="18"/>
          <w:szCs w:val="18"/>
        </w:rPr>
        <w:t>ти</w:t>
      </w:r>
      <w:r>
        <w:rPr>
          <w:rFonts w:ascii="Calibri" w:hAnsi="Calibri" w:cs="Calibri"/>
          <w:spacing w:val="1"/>
          <w:sz w:val="18"/>
          <w:szCs w:val="18"/>
        </w:rPr>
        <w:t>рова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о</w:t>
      </w:r>
      <w:r>
        <w:rPr>
          <w:rFonts w:ascii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hAnsi="Calibri" w:cs="Calibri"/>
          <w:spacing w:val="3"/>
          <w:sz w:val="18"/>
          <w:szCs w:val="18"/>
        </w:rPr>
        <w:t>и</w:t>
      </w:r>
      <w:r>
        <w:rPr>
          <w:rFonts w:ascii="Calibri" w:hAnsi="Calibri" w:cs="Calibri"/>
          <w:sz w:val="18"/>
          <w:szCs w:val="18"/>
        </w:rPr>
        <w:t>з</w:t>
      </w:r>
      <w:r>
        <w:rPr>
          <w:rFonts w:ascii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Т</w:t>
      </w:r>
      <w:r>
        <w:rPr>
          <w:rFonts w:ascii="Calibri" w:hAnsi="Calibri" w:cs="Calibri"/>
          <w:spacing w:val="1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б</w:t>
      </w:r>
      <w:r>
        <w:rPr>
          <w:rFonts w:ascii="Calibri" w:hAnsi="Calibri" w:cs="Calibri"/>
          <w:spacing w:val="2"/>
          <w:sz w:val="18"/>
          <w:szCs w:val="18"/>
        </w:rPr>
        <w:t>л</w:t>
      </w:r>
      <w:r>
        <w:rPr>
          <w:rFonts w:ascii="Calibri" w:hAnsi="Calibri" w:cs="Calibri"/>
          <w:sz w:val="18"/>
          <w:szCs w:val="18"/>
        </w:rPr>
        <w:t>ицы</w:t>
      </w:r>
      <w:r>
        <w:rPr>
          <w:rFonts w:ascii="Calibri" w:hAnsi="Calibri" w:cs="Calibri"/>
          <w:spacing w:val="38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”</w:t>
      </w:r>
      <w:r>
        <w:rPr>
          <w:rFonts w:ascii="Calibri" w:hAnsi="Calibri" w:cs="Calibri"/>
          <w:sz w:val="18"/>
          <w:szCs w:val="18"/>
        </w:rPr>
        <w:t>Ц</w:t>
      </w:r>
      <w:r>
        <w:rPr>
          <w:rFonts w:ascii="Calibri" w:hAnsi="Calibri" w:cs="Calibri"/>
          <w:spacing w:val="2"/>
          <w:sz w:val="18"/>
          <w:szCs w:val="18"/>
        </w:rPr>
        <w:t>е</w:t>
      </w:r>
      <w:r>
        <w:rPr>
          <w:rFonts w:ascii="Calibri" w:hAnsi="Calibri" w:cs="Calibri"/>
          <w:spacing w:val="-1"/>
          <w:sz w:val="18"/>
          <w:szCs w:val="18"/>
        </w:rPr>
        <w:t>л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п</w:t>
      </w:r>
      <w:r>
        <w:rPr>
          <w:rFonts w:ascii="Calibri" w:hAnsi="Calibri" w:cs="Calibri"/>
          <w:sz w:val="18"/>
          <w:szCs w:val="18"/>
        </w:rPr>
        <w:t>о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2"/>
          <w:sz w:val="18"/>
          <w:szCs w:val="18"/>
        </w:rPr>
        <w:t>А</w:t>
      </w:r>
      <w:r>
        <w:rPr>
          <w:rFonts w:ascii="Calibri" w:hAnsi="Calibri" w:cs="Calibri"/>
          <w:sz w:val="18"/>
          <w:szCs w:val="18"/>
        </w:rPr>
        <w:t>Д</w:t>
      </w:r>
      <w:r>
        <w:rPr>
          <w:rFonts w:ascii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у </w:t>
      </w:r>
      <w:r>
        <w:rPr>
          <w:rFonts w:ascii="Calibri" w:hAnsi="Calibri" w:cs="Calibri"/>
          <w:spacing w:val="-1"/>
          <w:sz w:val="18"/>
          <w:szCs w:val="18"/>
        </w:rPr>
        <w:t>п</w:t>
      </w:r>
      <w:r>
        <w:rPr>
          <w:rFonts w:ascii="Calibri" w:hAnsi="Calibri" w:cs="Calibri"/>
          <w:spacing w:val="1"/>
          <w:sz w:val="18"/>
          <w:szCs w:val="18"/>
        </w:rPr>
        <w:t>а</w:t>
      </w:r>
      <w:r>
        <w:rPr>
          <w:rFonts w:ascii="Calibri" w:hAnsi="Calibri" w:cs="Calibri"/>
          <w:spacing w:val="2"/>
          <w:sz w:val="18"/>
          <w:szCs w:val="18"/>
        </w:rPr>
        <w:t>ц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-1"/>
          <w:sz w:val="18"/>
          <w:szCs w:val="18"/>
        </w:rPr>
        <w:t>ен</w:t>
      </w:r>
      <w:r>
        <w:rPr>
          <w:rFonts w:ascii="Calibri" w:hAnsi="Calibri" w:cs="Calibri"/>
          <w:sz w:val="18"/>
          <w:szCs w:val="18"/>
        </w:rPr>
        <w:t>т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z w:val="18"/>
          <w:szCs w:val="18"/>
        </w:rPr>
        <w:t>в</w:t>
      </w:r>
      <w:r>
        <w:rPr>
          <w:rFonts w:ascii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с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г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2"/>
          <w:sz w:val="18"/>
          <w:szCs w:val="18"/>
        </w:rPr>
        <w:t>п</w:t>
      </w:r>
      <w:r>
        <w:rPr>
          <w:rFonts w:ascii="Calibri" w:hAnsi="Calibri" w:cs="Calibri"/>
          <w:spacing w:val="-1"/>
          <w:sz w:val="18"/>
          <w:szCs w:val="18"/>
        </w:rPr>
        <w:t>е</w:t>
      </w:r>
      <w:r>
        <w:rPr>
          <w:rFonts w:ascii="Calibri" w:hAnsi="Calibri" w:cs="Calibri"/>
          <w:spacing w:val="1"/>
          <w:sz w:val="18"/>
          <w:szCs w:val="18"/>
        </w:rPr>
        <w:t>р</w:t>
      </w:r>
      <w:r>
        <w:rPr>
          <w:rFonts w:ascii="Calibri" w:hAnsi="Calibri" w:cs="Calibri"/>
          <w:sz w:val="18"/>
          <w:szCs w:val="18"/>
        </w:rPr>
        <w:t>т</w:t>
      </w:r>
      <w:r>
        <w:rPr>
          <w:rFonts w:ascii="Calibri" w:hAnsi="Calibri" w:cs="Calibri"/>
          <w:spacing w:val="2"/>
          <w:sz w:val="18"/>
          <w:szCs w:val="18"/>
        </w:rPr>
        <w:t>е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з</w:t>
      </w:r>
      <w:r>
        <w:rPr>
          <w:rFonts w:ascii="Calibri" w:hAnsi="Calibri" w:cs="Calibri"/>
          <w:spacing w:val="3"/>
          <w:sz w:val="18"/>
          <w:szCs w:val="18"/>
        </w:rPr>
        <w:t>и</w:t>
      </w:r>
      <w:r>
        <w:rPr>
          <w:rFonts w:ascii="Calibri" w:hAnsi="Calibri" w:cs="Calibri"/>
          <w:spacing w:val="-1"/>
          <w:sz w:val="18"/>
          <w:szCs w:val="18"/>
        </w:rPr>
        <w:t>е</w:t>
      </w:r>
      <w:r>
        <w:rPr>
          <w:rFonts w:ascii="Calibri" w:hAnsi="Calibri" w:cs="Calibri"/>
          <w:spacing w:val="1"/>
          <w:sz w:val="18"/>
          <w:szCs w:val="18"/>
        </w:rPr>
        <w:t>й</w:t>
      </w:r>
      <w:r>
        <w:rPr>
          <w:rFonts w:ascii="Calibri" w:hAnsi="Calibri" w:cs="Calibri"/>
          <w:sz w:val="18"/>
          <w:szCs w:val="18"/>
        </w:rPr>
        <w:t>”</w:t>
      </w:r>
      <w:r>
        <w:rPr>
          <w:rFonts w:ascii="Calibri" w:hAnsi="Calibri" w:cs="Calibri"/>
          <w:spacing w:val="-12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в Р</w:t>
      </w:r>
      <w:r>
        <w:rPr>
          <w:rFonts w:ascii="Calibri" w:hAnsi="Calibri" w:cs="Calibri"/>
          <w:spacing w:val="1"/>
          <w:sz w:val="18"/>
          <w:szCs w:val="18"/>
        </w:rPr>
        <w:t>уково</w:t>
      </w:r>
      <w:r>
        <w:rPr>
          <w:rFonts w:ascii="Calibri" w:hAnsi="Calibri" w:cs="Calibri"/>
          <w:spacing w:val="-1"/>
          <w:sz w:val="18"/>
          <w:szCs w:val="18"/>
        </w:rPr>
        <w:t>д</w:t>
      </w:r>
      <w:r>
        <w:rPr>
          <w:rFonts w:ascii="Calibri" w:hAnsi="Calibri" w:cs="Calibri"/>
          <w:sz w:val="18"/>
          <w:szCs w:val="18"/>
        </w:rPr>
        <w:t>ст</w:t>
      </w:r>
      <w:r>
        <w:rPr>
          <w:rFonts w:ascii="Calibri" w:hAnsi="Calibri" w:cs="Calibri"/>
          <w:spacing w:val="1"/>
          <w:sz w:val="18"/>
          <w:szCs w:val="18"/>
        </w:rPr>
        <w:t>в</w:t>
      </w:r>
      <w:r>
        <w:rPr>
          <w:rFonts w:ascii="Calibri" w:hAnsi="Calibri" w:cs="Calibri"/>
          <w:sz w:val="18"/>
          <w:szCs w:val="18"/>
        </w:rPr>
        <w:t>е</w:t>
      </w:r>
      <w:r>
        <w:rPr>
          <w:rFonts w:ascii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Е</w:t>
      </w:r>
      <w:r>
        <w:rPr>
          <w:rFonts w:ascii="Calibri" w:hAnsi="Calibri" w:cs="Calibri"/>
          <w:sz w:val="18"/>
          <w:szCs w:val="18"/>
        </w:rPr>
        <w:t>ОК,</w:t>
      </w:r>
      <w:r>
        <w:rPr>
          <w:rFonts w:ascii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ст</w:t>
      </w:r>
      <w:r>
        <w:rPr>
          <w:rFonts w:ascii="Calibri" w:hAnsi="Calibri" w:cs="Calibri"/>
          <w:spacing w:val="1"/>
          <w:sz w:val="18"/>
          <w:szCs w:val="18"/>
        </w:rPr>
        <w:t>р</w:t>
      </w:r>
      <w:r>
        <w:rPr>
          <w:rFonts w:ascii="Calibri" w:hAnsi="Calibri" w:cs="Calibri"/>
          <w:sz w:val="18"/>
          <w:szCs w:val="18"/>
        </w:rPr>
        <w:t>.</w:t>
      </w:r>
      <w:r>
        <w:rPr>
          <w:rFonts w:ascii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13</w:t>
      </w:r>
      <w:r>
        <w:rPr>
          <w:rFonts w:ascii="Calibri" w:hAnsi="Calibri" w:cs="Calibri"/>
          <w:spacing w:val="2"/>
          <w:sz w:val="18"/>
          <w:szCs w:val="18"/>
        </w:rPr>
        <w:t>0</w:t>
      </w:r>
      <w:r>
        <w:rPr>
          <w:rFonts w:ascii="Calibri" w:hAnsi="Calibri" w:cs="Calibri"/>
          <w:sz w:val="18"/>
          <w:szCs w:val="18"/>
        </w:rPr>
        <w:t>6.  Практические руководства по ведению артериальной гипертензии Европейского общества гипертензии(ЕОГ) и Европейского общества кардиологов (ЕОК): Рабочая группа ЕОГ/ЕОК ведению артериальной гипертензии. Дж Гипертенз. Октябрь 2013 г.;31(10):1925-38.</w:t>
      </w:r>
      <w:r>
        <w:rPr>
          <w:rFonts w:ascii="Calibri" w:hAnsi="Calibri" w:cs="Calibri"/>
          <w:sz w:val="18"/>
          <w:szCs w:val="18"/>
          <w:vertAlign w:val="superscript"/>
        </w:rPr>
        <w:t>1</w:t>
      </w:r>
      <w:r>
        <w:rPr>
          <w:rFonts w:ascii="Calibri" w:hAnsi="Calibri" w:cs="Calibri"/>
          <w:sz w:val="18"/>
          <w:szCs w:val="18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>
        <w:rPr>
          <w:rFonts w:ascii="Calibri" w:hAnsi="Calibri" w:cs="Calibri"/>
          <w:lang w:val="en-US"/>
        </w:rPr>
        <w:lastRenderedPageBreak/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3.2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Алгоритм лечения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Терапевты и кардиологи могут использовать следующий алгоритм на Рисунке 2 для ведения процесса лечения.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Рисунок 2:  Алгоритм лечения гипертензии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838825" cy="3819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18" w:right="-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Источник: подготовлено консультантами CSIH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18" w:right="-2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Ключевыми моментами, на которые следует обратить внимание в данном алгоритме, являются: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08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Самостоятельные попытки по изменению образа жизни могут предпринимать пациенты только с низкими и умеренными рисками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Пациенты с высокими и очень высокими рисками должны немедленно начать прием препаратов.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080" w:hanging="36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Последующие визиты к врачу должны проводиться каждые две - четыре недели, по мере того как назначается или корректируется препарат. Впоследствии посещения врача могут быть сокращены до одного посещения раз в несколько месяцев (каждые три – шесть месяцев), по мере стабилизации уровня АД пациента.</w:t>
      </w:r>
      <w:r>
        <w:rPr>
          <w:rFonts w:ascii="Calibri" w:hAnsi="Calibri" w:cs="Calibri"/>
        </w:rPr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3.3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Справочник по выбору антигипертензивного препарата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Терапевты и кардиологи могут использовать следующую таблицу при выборе лучшего метода лечения пациентов в зависимости от клинической ситуации.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Таблица 11:  Выбор антигипертензивного препарата </w:t>
      </w:r>
    </w:p>
    <w:tbl>
      <w:tblPr>
        <w:tblW w:w="0" w:type="auto"/>
        <w:tblInd w:w="-68" w:type="dxa"/>
        <w:tblLayout w:type="fixed"/>
        <w:tblLook w:val="0000"/>
      </w:tblPr>
      <w:tblGrid>
        <w:gridCol w:w="2411"/>
        <w:gridCol w:w="2268"/>
        <w:gridCol w:w="2835"/>
        <w:gridCol w:w="2409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Базовая терапия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Терапия второй линии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Примечания/меры предосторожности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Сердечно-сосудистое заболевание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ИБС / стенокардия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ИАПФ в большинстве случаев; </w:t>
            </w:r>
            <w:r>
              <w:rPr>
                <w:rFonts w:ascii="Calibri" w:hAnsi="Calibri" w:cs="Calibri"/>
                <w:color w:val="000000"/>
                <w:sz w:val="19"/>
                <w:szCs w:val="19"/>
                <w:lang w:val="en-US"/>
              </w:rPr>
              <w:t>ß-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блокаторы  для лечения стабильной стенокардии.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Антагонист кальция пролонгированного действия. 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Избегайте приема нифедипина короткого действия.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Перенесенный (предшествующий) ИМ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ИАПФ + </w:t>
            </w:r>
            <w:r>
              <w:rPr>
                <w:rFonts w:ascii="Calibri" w:hAnsi="Calibri" w:cs="Calibri"/>
                <w:color w:val="000000"/>
                <w:sz w:val="19"/>
                <w:szCs w:val="19"/>
                <w:lang w:val="en-US"/>
              </w:rPr>
              <w:t>ß-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блокатор.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БРА, при непереносимости ИАПФ и наличии дисфункции ЛЖ; Антагонист кальция пролонгированного действия, если </w:t>
            </w:r>
            <w:r>
              <w:rPr>
                <w:rFonts w:ascii="Calibri" w:hAnsi="Calibri" w:cs="Calibri"/>
                <w:color w:val="000000"/>
                <w:sz w:val="19"/>
                <w:szCs w:val="19"/>
                <w:lang w:val="en-US"/>
              </w:rPr>
              <w:t>ß-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блокатор противопоказан или неэффективен.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Избегайте приема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не-дигидропиридонового антагониста кальция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при наличии СН.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Фибрилляция предсердий (мерцательная аритмия), для контроля желудочкового ритма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  <w:lang w:val="en-US"/>
              </w:rPr>
              <w:t>ß -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блокатор, недигидропиридоновый антагонист кальция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Гипертрофия левого желудочка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Тиазидный диуретик; ИАПФ; Антагонист кальция пролонгированного действия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БРА, при непереносимости ИАПФ.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Избегайте приема сосудорасширяющих препаратов, например гидралазина или миноксидила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ХСН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Диуретики; АПФ + бета-блокаторы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Антогонисты альдестерона для пациентов с более тяжелыми симптомами (класс III или IV).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19"/>
                <w:szCs w:val="19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АПФ (БРА при непереносимости);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Гидралазин/изосорбит динитрат (при непереносимости АПФ или БРА).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При комбинировании ИАПФ + БРА наблюдайте за  побочными эффектами, такие как, гипотензию, гиперкалемию, ухудшение почечной функции. Избегайте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ß-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блокаторов с брадикардией.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Нарушение мозгового кровообращения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ИАПФ + тиазидный диуретик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Антагонист кальция пролонгированного действия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Соблюдайте осторожность при снижении АД  в случае острого инсульта; с осторожностью выбирайте препараты и способ их применения для избежания резкого снижения АД.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t>Заболевание периферических артерий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ИАПФ, Антагонист кальция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1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ХБП у пациентов, не страдающих диабетом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ХБП у пациентов, не страдающих диабетом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ИАПФ при протеинурии  (мочевой белок &gt; 500 мг/24 ч соотношение альбумин/креатинин &gt;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lastRenderedPageBreak/>
              <w:t>30).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lastRenderedPageBreak/>
              <w:t xml:space="preserve">БРА, при непереносимости ИАПФ; тиазидный диуретик как дополнительная терапия; петлевой диуретик при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lastRenderedPageBreak/>
              <w:t>повышении объема жидкости.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Избегайте приема ИАПФ, БРА при  двустороннем стенозе почечных артерий или при одностороннем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заболевании с единственной почкой.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19"/>
                <w:szCs w:val="19"/>
              </w:rPr>
              <w:lastRenderedPageBreak/>
              <w:t>Реноваскулярное заболевание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Тиазидный диуретик; ИАПФ;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Антагонист кальция пролонгированного действия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БРА, при непереносимости ИАПФ; комбинированные препараты первой линии.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Избегайте приема ИАПФ, БРА при  двустороннем стенозе почечных артерий или при одностороннем заболевании с единственной почкой.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>Сахарный диабет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19"/>
                <w:szCs w:val="19"/>
              </w:rPr>
              <w:t xml:space="preserve">СД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АПФ или БРА  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Антогонисты кальция, диуретики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--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21" w:lineRule="atLeast"/>
        <w:rPr>
          <w:rFonts w:ascii="Calibri" w:hAnsi="Calibri" w:cs="Calibri"/>
          <w:b/>
          <w:bCs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>Противопоказания по применению  гипотензивных препаратов</w:t>
      </w: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Ниже указан список противопоказаний по применению гипотензивных препаратов:</w:t>
      </w: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 w:hanging="34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 w:hanging="3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en-US"/>
        </w:rPr>
        <w:t xml:space="preserve">• </w:t>
      </w:r>
      <w:r>
        <w:rPr>
          <w:rFonts w:ascii="Calibri" w:hAnsi="Calibri" w:cs="Calibri"/>
          <w:color w:val="000000"/>
        </w:rPr>
        <w:t xml:space="preserve">Противопоказания: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74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Астма: </w:t>
      </w:r>
      <w:r>
        <w:rPr>
          <w:rFonts w:ascii="Calibri" w:hAnsi="Calibri" w:cs="Calibri"/>
          <w:color w:val="000000"/>
          <w:lang w:val="en-US"/>
        </w:rPr>
        <w:t>ß-</w:t>
      </w:r>
      <w:r>
        <w:rPr>
          <w:rFonts w:ascii="Calibri" w:hAnsi="Calibri" w:cs="Calibri"/>
          <w:color w:val="000000"/>
        </w:rPr>
        <w:t xml:space="preserve">блокаторы.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74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Атриовентикулярная блокада 2-3 степени: </w:t>
      </w:r>
      <w:r>
        <w:rPr>
          <w:rFonts w:ascii="Calibri" w:hAnsi="Calibri" w:cs="Calibri"/>
          <w:color w:val="000000"/>
          <w:lang w:val="en-US"/>
        </w:rPr>
        <w:t>ß-</w:t>
      </w:r>
      <w:r>
        <w:rPr>
          <w:rFonts w:ascii="Calibri" w:hAnsi="Calibri" w:cs="Calibri"/>
          <w:color w:val="000000"/>
        </w:rPr>
        <w:t>блокаторы и недигидропиридоновые антагонисты кальция.</w:t>
      </w: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21" w:lineRule="atLeast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lang w:val="en-US"/>
        </w:rPr>
        <w:t xml:space="preserve">• </w:t>
      </w:r>
      <w:r>
        <w:rPr>
          <w:rFonts w:ascii="Calibri" w:hAnsi="Calibri" w:cs="Calibri"/>
          <w:color w:val="000000"/>
        </w:rPr>
        <w:t xml:space="preserve">Относительные противопоказания: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108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ХОБЛ: </w:t>
      </w:r>
      <w:r>
        <w:rPr>
          <w:rFonts w:ascii="Calibri" w:hAnsi="Calibri" w:cs="Calibri"/>
          <w:color w:val="000000"/>
          <w:lang w:val="en-US"/>
        </w:rPr>
        <w:t>ß-</w:t>
      </w:r>
      <w:r>
        <w:rPr>
          <w:rFonts w:ascii="Calibri" w:hAnsi="Calibri" w:cs="Calibri"/>
          <w:color w:val="000000"/>
        </w:rPr>
        <w:t xml:space="preserve">блокаторы.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108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Подагра: Тиазидные диуретики.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108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Сердечная недостаточность: недигидропиридоновые антагонисты кальция, альфа-блокаторы.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after="0" w:line="221" w:lineRule="atLeast"/>
        <w:ind w:left="108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Почечная недостаточность: калийсберегающие мочегонные средства. 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1080" w:hanging="36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color w:val="000000"/>
        </w:rPr>
        <w:t xml:space="preserve">Депрессия: </w:t>
      </w:r>
      <w:r>
        <w:rPr>
          <w:rFonts w:ascii="Calibri" w:hAnsi="Calibri" w:cs="Calibri"/>
          <w:color w:val="000000"/>
          <w:lang w:val="en-US"/>
        </w:rPr>
        <w:t>ß-</w:t>
      </w:r>
      <w:r>
        <w:rPr>
          <w:rFonts w:ascii="Calibri" w:hAnsi="Calibri" w:cs="Calibri"/>
          <w:color w:val="000000"/>
        </w:rPr>
        <w:t>блокаторы, альфа-рецепторы, связанные с ЦНС, резерпин.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position w:val="10"/>
          <w:sz w:val="18"/>
          <w:szCs w:val="18"/>
        </w:rPr>
      </w:pPr>
      <w:r>
        <w:rPr>
          <w:rFonts w:ascii="Calibri" w:hAnsi="Calibri" w:cs="Calibri"/>
          <w:spacing w:val="-1"/>
          <w:sz w:val="18"/>
          <w:szCs w:val="18"/>
        </w:rPr>
        <w:t>И</w:t>
      </w:r>
      <w:r>
        <w:rPr>
          <w:rFonts w:ascii="Calibri" w:hAnsi="Calibri" w:cs="Calibri"/>
          <w:sz w:val="18"/>
          <w:szCs w:val="18"/>
        </w:rPr>
        <w:t>ст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pacing w:val="3"/>
          <w:sz w:val="18"/>
          <w:szCs w:val="18"/>
        </w:rPr>
        <w:t>ч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1"/>
          <w:sz w:val="18"/>
          <w:szCs w:val="18"/>
        </w:rPr>
        <w:t>к</w:t>
      </w:r>
      <w:r>
        <w:rPr>
          <w:rFonts w:ascii="Calibri" w:hAnsi="Calibri" w:cs="Calibri"/>
          <w:sz w:val="18"/>
          <w:szCs w:val="18"/>
        </w:rPr>
        <w:t>:</w:t>
      </w:r>
      <w:r>
        <w:rPr>
          <w:rFonts w:ascii="Calibri" w:hAnsi="Calibri" w:cs="Calibri"/>
          <w:spacing w:val="37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д</w:t>
      </w:r>
      <w:r>
        <w:rPr>
          <w:rFonts w:ascii="Calibri" w:hAnsi="Calibri" w:cs="Calibri"/>
          <w:spacing w:val="1"/>
          <w:sz w:val="18"/>
          <w:szCs w:val="18"/>
        </w:rPr>
        <w:t>а</w:t>
      </w:r>
      <w:r>
        <w:rPr>
          <w:rFonts w:ascii="Calibri" w:hAnsi="Calibri" w:cs="Calibri"/>
          <w:spacing w:val="2"/>
          <w:sz w:val="18"/>
          <w:szCs w:val="18"/>
        </w:rPr>
        <w:t>п</w:t>
      </w:r>
      <w:r>
        <w:rPr>
          <w:rFonts w:ascii="Calibri" w:hAnsi="Calibri" w:cs="Calibri"/>
          <w:sz w:val="18"/>
          <w:szCs w:val="18"/>
        </w:rPr>
        <w:t>ти</w:t>
      </w:r>
      <w:r>
        <w:rPr>
          <w:rFonts w:ascii="Calibri" w:hAnsi="Calibri" w:cs="Calibri"/>
          <w:spacing w:val="1"/>
          <w:sz w:val="18"/>
          <w:szCs w:val="18"/>
        </w:rPr>
        <w:t>рова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о</w:t>
      </w:r>
      <w:r>
        <w:rPr>
          <w:rFonts w:ascii="Calibri" w:hAnsi="Calibri" w:cs="Calibri"/>
          <w:spacing w:val="-11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из</w:t>
      </w:r>
      <w:r>
        <w:rPr>
          <w:rFonts w:ascii="Calibri" w:hAnsi="Calibri" w:cs="Calibri"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КР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Бр</w:t>
      </w:r>
      <w:r>
        <w:rPr>
          <w:rFonts w:ascii="Calibri" w:hAnsi="Calibri" w:cs="Calibri"/>
          <w:sz w:val="18"/>
          <w:szCs w:val="18"/>
        </w:rPr>
        <w:t>ит</w:t>
      </w:r>
      <w:r>
        <w:rPr>
          <w:rFonts w:ascii="Calibri" w:hAnsi="Calibri" w:cs="Calibri"/>
          <w:spacing w:val="1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с</w:t>
      </w:r>
      <w:r>
        <w:rPr>
          <w:rFonts w:ascii="Calibri" w:hAnsi="Calibri" w:cs="Calibri"/>
          <w:spacing w:val="1"/>
          <w:sz w:val="18"/>
          <w:szCs w:val="18"/>
        </w:rPr>
        <w:t>ко</w:t>
      </w:r>
      <w:r>
        <w:rPr>
          <w:rFonts w:ascii="Calibri" w:hAnsi="Calibri" w:cs="Calibri"/>
          <w:sz w:val="18"/>
          <w:szCs w:val="18"/>
        </w:rPr>
        <w:t>й</w:t>
      </w:r>
      <w:r>
        <w:rPr>
          <w:rFonts w:ascii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К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pacing w:val="-1"/>
          <w:sz w:val="18"/>
          <w:szCs w:val="18"/>
        </w:rPr>
        <w:t>л</w:t>
      </w:r>
      <w:r>
        <w:rPr>
          <w:rFonts w:ascii="Calibri" w:hAnsi="Calibri" w:cs="Calibri"/>
          <w:spacing w:val="1"/>
          <w:sz w:val="18"/>
          <w:szCs w:val="18"/>
        </w:rPr>
        <w:t>у</w:t>
      </w:r>
      <w:r>
        <w:rPr>
          <w:rFonts w:ascii="Calibri" w:hAnsi="Calibri" w:cs="Calibri"/>
          <w:sz w:val="18"/>
          <w:szCs w:val="18"/>
        </w:rPr>
        <w:t>м</w:t>
      </w:r>
      <w:r>
        <w:rPr>
          <w:rFonts w:ascii="Calibri" w:hAnsi="Calibri" w:cs="Calibri"/>
          <w:spacing w:val="2"/>
          <w:sz w:val="18"/>
          <w:szCs w:val="18"/>
        </w:rPr>
        <w:t>б</w:t>
      </w:r>
      <w:r>
        <w:rPr>
          <w:rFonts w:ascii="Calibri" w:hAnsi="Calibri" w:cs="Calibri"/>
          <w:sz w:val="18"/>
          <w:szCs w:val="18"/>
        </w:rPr>
        <w:t>ии</w:t>
      </w:r>
      <w:r>
        <w:rPr>
          <w:rFonts w:ascii="Calibri" w:hAnsi="Calibri" w:cs="Calibri"/>
          <w:spacing w:val="-8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п</w:t>
      </w:r>
      <w:r>
        <w:rPr>
          <w:rFonts w:ascii="Calibri" w:hAnsi="Calibri" w:cs="Calibri"/>
          <w:sz w:val="18"/>
          <w:szCs w:val="18"/>
        </w:rPr>
        <w:t>о</w:t>
      </w:r>
      <w:r>
        <w:rPr>
          <w:rFonts w:ascii="Calibri" w:hAnsi="Calibri" w:cs="Calibri"/>
          <w:spacing w:val="1"/>
          <w:sz w:val="18"/>
          <w:szCs w:val="18"/>
        </w:rPr>
        <w:t xml:space="preserve"> Г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-1"/>
          <w:sz w:val="18"/>
          <w:szCs w:val="18"/>
        </w:rPr>
        <w:t>пе</w:t>
      </w:r>
      <w:r>
        <w:rPr>
          <w:rFonts w:ascii="Calibri" w:hAnsi="Calibri" w:cs="Calibri"/>
          <w:spacing w:val="1"/>
          <w:sz w:val="18"/>
          <w:szCs w:val="18"/>
        </w:rPr>
        <w:t>р</w:t>
      </w:r>
      <w:r>
        <w:rPr>
          <w:rFonts w:ascii="Calibri" w:hAnsi="Calibri" w:cs="Calibri"/>
          <w:sz w:val="18"/>
          <w:szCs w:val="18"/>
        </w:rPr>
        <w:t>т</w:t>
      </w:r>
      <w:r>
        <w:rPr>
          <w:rFonts w:ascii="Calibri" w:hAnsi="Calibri" w:cs="Calibri"/>
          <w:spacing w:val="2"/>
          <w:sz w:val="18"/>
          <w:szCs w:val="18"/>
        </w:rPr>
        <w:t>е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зии</w:t>
      </w:r>
      <w:r>
        <w:rPr>
          <w:rFonts w:ascii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–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2"/>
          <w:sz w:val="18"/>
          <w:szCs w:val="18"/>
        </w:rPr>
        <w:t>Вы</w:t>
      </w:r>
      <w:r>
        <w:rPr>
          <w:rFonts w:ascii="Calibri" w:hAnsi="Calibri" w:cs="Calibri"/>
          <w:spacing w:val="-1"/>
          <w:sz w:val="18"/>
          <w:szCs w:val="18"/>
        </w:rPr>
        <w:t>я</w:t>
      </w:r>
      <w:r>
        <w:rPr>
          <w:rFonts w:ascii="Calibri" w:hAnsi="Calibri" w:cs="Calibri"/>
          <w:spacing w:val="1"/>
          <w:sz w:val="18"/>
          <w:szCs w:val="18"/>
        </w:rPr>
        <w:t>в</w:t>
      </w:r>
      <w:r>
        <w:rPr>
          <w:rFonts w:ascii="Calibri" w:hAnsi="Calibri" w:cs="Calibri"/>
          <w:spacing w:val="-1"/>
          <w:sz w:val="18"/>
          <w:szCs w:val="18"/>
        </w:rPr>
        <w:t>л</w:t>
      </w:r>
      <w:r>
        <w:rPr>
          <w:rFonts w:ascii="Calibri" w:hAnsi="Calibri" w:cs="Calibri"/>
          <w:spacing w:val="2"/>
          <w:sz w:val="18"/>
          <w:szCs w:val="18"/>
        </w:rPr>
        <w:t>е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-1"/>
          <w:sz w:val="18"/>
          <w:szCs w:val="18"/>
        </w:rPr>
        <w:t>е</w:t>
      </w:r>
      <w:r>
        <w:rPr>
          <w:rFonts w:ascii="Calibri" w:hAnsi="Calibri" w:cs="Calibri"/>
          <w:sz w:val="18"/>
          <w:szCs w:val="18"/>
        </w:rPr>
        <w:t>,</w:t>
      </w:r>
      <w:r>
        <w:rPr>
          <w:rFonts w:ascii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Д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1"/>
          <w:sz w:val="18"/>
          <w:szCs w:val="18"/>
        </w:rPr>
        <w:t>аг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z w:val="18"/>
          <w:szCs w:val="18"/>
        </w:rPr>
        <w:t>с</w:t>
      </w:r>
      <w:r>
        <w:rPr>
          <w:rFonts w:ascii="Calibri" w:hAnsi="Calibri" w:cs="Calibri"/>
          <w:spacing w:val="2"/>
          <w:sz w:val="18"/>
          <w:szCs w:val="18"/>
        </w:rPr>
        <w:t>т</w:t>
      </w:r>
      <w:r>
        <w:rPr>
          <w:rFonts w:ascii="Calibri" w:hAnsi="Calibri" w:cs="Calibri"/>
          <w:sz w:val="18"/>
          <w:szCs w:val="18"/>
        </w:rPr>
        <w:t>и</w:t>
      </w:r>
      <w:r>
        <w:rPr>
          <w:rFonts w:ascii="Calibri" w:hAnsi="Calibri" w:cs="Calibri"/>
          <w:spacing w:val="1"/>
          <w:sz w:val="18"/>
          <w:szCs w:val="18"/>
        </w:rPr>
        <w:t>к</w:t>
      </w:r>
      <w:r>
        <w:rPr>
          <w:rFonts w:ascii="Calibri" w:hAnsi="Calibri" w:cs="Calibri"/>
          <w:sz w:val="18"/>
          <w:szCs w:val="18"/>
        </w:rPr>
        <w:t>а</w:t>
      </w:r>
      <w:r>
        <w:rPr>
          <w:rFonts w:ascii="Calibri" w:hAnsi="Calibri" w:cs="Calibri"/>
          <w:spacing w:val="-10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и </w:t>
      </w:r>
      <w:r>
        <w:rPr>
          <w:rFonts w:ascii="Calibri" w:hAnsi="Calibri" w:cs="Calibri"/>
          <w:spacing w:val="1"/>
          <w:sz w:val="18"/>
          <w:szCs w:val="18"/>
        </w:rPr>
        <w:t>У</w:t>
      </w:r>
      <w:r>
        <w:rPr>
          <w:rFonts w:ascii="Calibri" w:hAnsi="Calibri" w:cs="Calibri"/>
          <w:spacing w:val="-1"/>
          <w:sz w:val="18"/>
          <w:szCs w:val="18"/>
        </w:rPr>
        <w:t>п</w:t>
      </w:r>
      <w:r>
        <w:rPr>
          <w:rFonts w:ascii="Calibri" w:hAnsi="Calibri" w:cs="Calibri"/>
          <w:spacing w:val="1"/>
          <w:sz w:val="18"/>
          <w:szCs w:val="18"/>
        </w:rPr>
        <w:t>рав</w:t>
      </w:r>
      <w:r>
        <w:rPr>
          <w:rFonts w:ascii="Calibri" w:hAnsi="Calibri" w:cs="Calibri"/>
          <w:spacing w:val="-1"/>
          <w:sz w:val="18"/>
          <w:szCs w:val="18"/>
        </w:rPr>
        <w:t>л</w:t>
      </w:r>
      <w:r>
        <w:rPr>
          <w:rFonts w:ascii="Calibri" w:hAnsi="Calibri" w:cs="Calibri"/>
          <w:spacing w:val="2"/>
          <w:sz w:val="18"/>
          <w:szCs w:val="18"/>
        </w:rPr>
        <w:t>е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ие</w:t>
      </w:r>
      <w:r>
        <w:rPr>
          <w:rFonts w:ascii="Calibri" w:hAnsi="Calibri" w:cs="Calibri"/>
          <w:spacing w:val="35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из</w:t>
      </w:r>
      <w:r>
        <w:rPr>
          <w:rFonts w:ascii="Calibri" w:hAnsi="Calibri" w:cs="Calibri"/>
          <w:spacing w:val="2"/>
          <w:sz w:val="18"/>
          <w:szCs w:val="18"/>
        </w:rPr>
        <w:t>м</w:t>
      </w:r>
      <w:r>
        <w:rPr>
          <w:rFonts w:ascii="Calibri" w:hAnsi="Calibri" w:cs="Calibri"/>
          <w:spacing w:val="-1"/>
          <w:sz w:val="18"/>
          <w:szCs w:val="18"/>
        </w:rPr>
        <w:t>е</w:t>
      </w:r>
      <w:r>
        <w:rPr>
          <w:rFonts w:ascii="Calibri" w:hAnsi="Calibri" w:cs="Calibri"/>
          <w:spacing w:val="1"/>
          <w:sz w:val="18"/>
          <w:szCs w:val="18"/>
        </w:rPr>
        <w:t>н</w:t>
      </w:r>
      <w:r>
        <w:rPr>
          <w:rFonts w:ascii="Calibri" w:hAnsi="Calibri" w:cs="Calibri"/>
          <w:spacing w:val="-1"/>
          <w:sz w:val="18"/>
          <w:szCs w:val="18"/>
        </w:rPr>
        <w:t>ен</w:t>
      </w:r>
      <w:r>
        <w:rPr>
          <w:rFonts w:ascii="Calibri" w:hAnsi="Calibri" w:cs="Calibri"/>
          <w:spacing w:val="3"/>
          <w:sz w:val="18"/>
          <w:szCs w:val="18"/>
        </w:rPr>
        <w:t>и</w:t>
      </w:r>
      <w:r>
        <w:rPr>
          <w:rFonts w:ascii="Calibri" w:hAnsi="Calibri" w:cs="Calibri"/>
          <w:spacing w:val="-1"/>
          <w:sz w:val="18"/>
          <w:szCs w:val="18"/>
        </w:rPr>
        <w:t>я</w:t>
      </w:r>
      <w:r>
        <w:rPr>
          <w:rFonts w:ascii="Calibri" w:hAnsi="Calibri" w:cs="Calibri"/>
          <w:sz w:val="18"/>
          <w:szCs w:val="18"/>
        </w:rPr>
        <w:t>ми</w:t>
      </w:r>
      <w:r>
        <w:rPr>
          <w:rFonts w:ascii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н</w:t>
      </w:r>
      <w:r>
        <w:rPr>
          <w:rFonts w:ascii="Calibri" w:hAnsi="Calibri" w:cs="Calibri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о</w:t>
      </w:r>
      <w:r>
        <w:rPr>
          <w:rFonts w:ascii="Calibri" w:hAnsi="Calibri" w:cs="Calibri"/>
          <w:sz w:val="18"/>
          <w:szCs w:val="18"/>
        </w:rPr>
        <w:t>с</w:t>
      </w:r>
      <w:r>
        <w:rPr>
          <w:rFonts w:ascii="Calibri" w:hAnsi="Calibri" w:cs="Calibri"/>
          <w:spacing w:val="-1"/>
          <w:sz w:val="18"/>
          <w:szCs w:val="18"/>
        </w:rPr>
        <w:t>н</w:t>
      </w:r>
      <w:r>
        <w:rPr>
          <w:rFonts w:ascii="Calibri" w:hAnsi="Calibri" w:cs="Calibri"/>
          <w:spacing w:val="1"/>
          <w:sz w:val="18"/>
          <w:szCs w:val="18"/>
        </w:rPr>
        <w:t>ов</w:t>
      </w:r>
      <w:r>
        <w:rPr>
          <w:rFonts w:ascii="Calibri" w:hAnsi="Calibri" w:cs="Calibri"/>
          <w:sz w:val="18"/>
          <w:szCs w:val="18"/>
        </w:rPr>
        <w:t>е</w:t>
      </w:r>
      <w:r>
        <w:rPr>
          <w:rFonts w:ascii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Р</w:t>
      </w:r>
      <w:r>
        <w:rPr>
          <w:rFonts w:ascii="Calibri" w:hAnsi="Calibri" w:cs="Calibri"/>
          <w:spacing w:val="1"/>
          <w:sz w:val="18"/>
          <w:szCs w:val="18"/>
        </w:rPr>
        <w:t>уково</w:t>
      </w:r>
      <w:r>
        <w:rPr>
          <w:rFonts w:ascii="Calibri" w:hAnsi="Calibri" w:cs="Calibri"/>
          <w:spacing w:val="-1"/>
          <w:sz w:val="18"/>
          <w:szCs w:val="18"/>
        </w:rPr>
        <w:t>д</w:t>
      </w:r>
      <w:r>
        <w:rPr>
          <w:rFonts w:ascii="Calibri" w:hAnsi="Calibri" w:cs="Calibri"/>
          <w:sz w:val="18"/>
          <w:szCs w:val="18"/>
        </w:rPr>
        <w:t>ств</w:t>
      </w:r>
      <w:r>
        <w:rPr>
          <w:rFonts w:ascii="Calibri" w:hAnsi="Calibri" w:cs="Calibri"/>
          <w:spacing w:val="-9"/>
          <w:sz w:val="18"/>
          <w:szCs w:val="18"/>
        </w:rPr>
        <w:t xml:space="preserve"> </w:t>
      </w:r>
      <w:r>
        <w:rPr>
          <w:rFonts w:ascii="Calibri" w:hAnsi="Calibri" w:cs="Calibri"/>
          <w:spacing w:val="1"/>
          <w:sz w:val="18"/>
          <w:szCs w:val="18"/>
        </w:rPr>
        <w:t>Е</w:t>
      </w:r>
      <w:r>
        <w:rPr>
          <w:rFonts w:ascii="Calibri" w:hAnsi="Calibri" w:cs="Calibri"/>
          <w:sz w:val="18"/>
          <w:szCs w:val="18"/>
        </w:rPr>
        <w:t>ОК,</w:t>
      </w:r>
      <w:r>
        <w:rPr>
          <w:rFonts w:ascii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hAnsi="Calibri" w:cs="Calibri"/>
          <w:spacing w:val="-1"/>
          <w:sz w:val="18"/>
          <w:szCs w:val="18"/>
        </w:rPr>
        <w:t>Т</w:t>
      </w:r>
      <w:r>
        <w:rPr>
          <w:rFonts w:ascii="Calibri" w:hAnsi="Calibri" w:cs="Calibri"/>
          <w:spacing w:val="3"/>
          <w:sz w:val="18"/>
          <w:szCs w:val="18"/>
        </w:rPr>
        <w:t>а</w:t>
      </w:r>
      <w:r>
        <w:rPr>
          <w:rFonts w:ascii="Calibri" w:hAnsi="Calibri" w:cs="Calibri"/>
          <w:spacing w:val="-1"/>
          <w:sz w:val="18"/>
          <w:szCs w:val="18"/>
        </w:rPr>
        <w:t>бл</w:t>
      </w:r>
      <w:r>
        <w:rPr>
          <w:rFonts w:ascii="Calibri" w:hAnsi="Calibri" w:cs="Calibri"/>
          <w:sz w:val="18"/>
          <w:szCs w:val="18"/>
        </w:rPr>
        <w:t>ица</w:t>
      </w:r>
      <w:r>
        <w:rPr>
          <w:rFonts w:ascii="Calibri" w:hAnsi="Calibri" w:cs="Calibri"/>
          <w:spacing w:val="-6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15,</w:t>
      </w:r>
      <w:r>
        <w:rPr>
          <w:rFonts w:ascii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ст</w:t>
      </w:r>
      <w:r>
        <w:rPr>
          <w:rFonts w:ascii="Calibri" w:hAnsi="Calibri" w:cs="Calibri"/>
          <w:spacing w:val="1"/>
          <w:sz w:val="18"/>
          <w:szCs w:val="18"/>
        </w:rPr>
        <w:t>р</w:t>
      </w:r>
      <w:r>
        <w:rPr>
          <w:rFonts w:ascii="Calibri" w:hAnsi="Calibri" w:cs="Calibri"/>
          <w:sz w:val="18"/>
          <w:szCs w:val="18"/>
        </w:rPr>
        <w:t>.</w:t>
      </w:r>
      <w:r>
        <w:rPr>
          <w:rFonts w:ascii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hAnsi="Calibri" w:cs="Calibri"/>
          <w:spacing w:val="2"/>
          <w:sz w:val="18"/>
          <w:szCs w:val="18"/>
        </w:rPr>
        <w:t>1</w:t>
      </w:r>
      <w:r>
        <w:rPr>
          <w:rFonts w:ascii="Calibri" w:hAnsi="Calibri" w:cs="Calibri"/>
          <w:sz w:val="18"/>
          <w:szCs w:val="18"/>
        </w:rPr>
        <w:t>31</w:t>
      </w:r>
      <w:r>
        <w:rPr>
          <w:rFonts w:ascii="Calibri" w:hAnsi="Calibri" w:cs="Calibri"/>
          <w:spacing w:val="2"/>
          <w:sz w:val="18"/>
          <w:szCs w:val="18"/>
        </w:rPr>
        <w:t>2</w:t>
      </w:r>
      <w:r>
        <w:rPr>
          <w:rFonts w:ascii="Calibri" w:hAnsi="Calibri" w:cs="Calibri"/>
          <w:spacing w:val="-1"/>
          <w:position w:val="10"/>
          <w:sz w:val="18"/>
          <w:szCs w:val="18"/>
        </w:rPr>
        <w:t>1</w:t>
      </w:r>
      <w:r>
        <w:rPr>
          <w:rFonts w:ascii="Calibri" w:hAnsi="Calibri" w:cs="Calibri"/>
          <w:spacing w:val="1"/>
          <w:position w:val="10"/>
          <w:sz w:val="18"/>
          <w:szCs w:val="18"/>
        </w:rPr>
        <w:t>,4</w:t>
      </w:r>
      <w:r>
        <w:rPr>
          <w:rFonts w:ascii="Calibri" w:hAnsi="Calibri" w:cs="Calibri"/>
          <w:position w:val="10"/>
          <w:sz w:val="18"/>
          <w:szCs w:val="18"/>
        </w:rPr>
        <w:t xml:space="preserve"> 2008г</w:t>
      </w:r>
      <w:r>
        <w:rPr>
          <w:rFonts w:ascii="Calibri" w:hAnsi="Calibri" w:cs="Calibri"/>
          <w:color w:val="000000"/>
          <w:position w:val="10"/>
          <w:sz w:val="18"/>
          <w:szCs w:val="18"/>
        </w:rPr>
        <w:t xml:space="preserve">. </w:t>
      </w:r>
      <w:r>
        <w:rPr>
          <w:rFonts w:ascii="Calibri" w:hAnsi="Calibri" w:cs="Calibri"/>
          <w:position w:val="10"/>
          <w:sz w:val="18"/>
          <w:szCs w:val="18"/>
        </w:rPr>
        <w:t>Консультативный совет по руководствам и протоколам, Комиссия по медицинским услугам Британской Колумбии. Перепечатано с разрешения Консультативного совета по руководствам и протоколам, Комиссии по медицинским услугам Британской Колумбии для воспроизведения и распространения до 31 октября, 2015.</w:t>
      </w:r>
      <w:r>
        <w:rPr>
          <w:rFonts w:ascii="Calibri" w:hAnsi="Calibri" w:cs="Calibri"/>
          <w:position w:val="10"/>
          <w:sz w:val="18"/>
          <w:szCs w:val="18"/>
          <w:lang w:val="en-US"/>
        </w:rPr>
        <w:t xml:space="preserve">  </w:t>
      </w:r>
      <w:r>
        <w:rPr>
          <w:rFonts w:ascii="Calibri" w:hAnsi="Calibri" w:cs="Calibri"/>
          <w:color w:val="000000"/>
          <w:position w:val="10"/>
          <w:sz w:val="18"/>
          <w:szCs w:val="18"/>
          <w:lang w:val="en-US"/>
        </w:rPr>
        <w:t xml:space="preserve">CSIH </w:t>
      </w:r>
      <w:r>
        <w:rPr>
          <w:rFonts w:ascii="Calibri" w:hAnsi="Calibri" w:cs="Calibri"/>
          <w:color w:val="000000"/>
          <w:position w:val="10"/>
          <w:sz w:val="18"/>
          <w:szCs w:val="18"/>
        </w:rPr>
        <w:t xml:space="preserve">признает, что Британская Колумбия является и будет владельцем прав интеллектуальной собственности данного материала и переведенной версии. Британская Колумбия сохраняет полные прав по использованию, воспроизведению и распространению копий данного материала и переведенной версии при любым образом и в случае когда Британская Колумбия может распоряжаться ими по своему усмотрению.  </w:t>
      </w:r>
      <w:r>
        <w:rPr>
          <w:rFonts w:ascii="Calibri" w:hAnsi="Calibri" w:cs="Calibri"/>
          <w:position w:val="10"/>
          <w:sz w:val="18"/>
          <w:szCs w:val="18"/>
        </w:rPr>
        <w:t xml:space="preserve">Авторские права 2013г. ЕОГ/ЕОК и авторские права </w:t>
      </w:r>
      <w:r>
        <w:rPr>
          <w:rFonts w:ascii="Calibri" w:hAnsi="Calibri" w:cs="Calibri"/>
          <w:i/>
          <w:iCs/>
          <w:position w:val="10"/>
          <w:sz w:val="18"/>
          <w:szCs w:val="18"/>
        </w:rPr>
        <w:t xml:space="preserve"> </w:t>
      </w:r>
      <w:r>
        <w:rPr>
          <w:rFonts w:ascii="Calibri" w:hAnsi="Calibri" w:cs="Calibri"/>
          <w:position w:val="10"/>
          <w:sz w:val="18"/>
          <w:szCs w:val="18"/>
        </w:rPr>
        <w:t xml:space="preserve">2013г. ЕОГ/ЕОК 2008 г. Консультативный совет по руководствам и протоколам, Комиссия по медицинским услугам Британской Колумбии. Перепечатано с разрешения Консультативного совета по руководствам и протоколам.*****РАЗРЕШЕНИЕ ЕЩЕ НЕ ПОЛУЧЕНО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3.4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Лечение факторов риска сердечно-сосудистых заболеваний</w:t>
      </w:r>
    </w:p>
    <w:p w:rsidR="002C3465" w:rsidRDefault="002C3465" w:rsidP="002C3465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В Таблице 12 указаны остальные рекомендации по пациентам с гипертензией, направленные на лечение сердечно-сосудистого заболевания.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Таблица 12: Рекомендации  по лечению сердечно-сосудистых заболеваний</w:t>
      </w:r>
    </w:p>
    <w:tbl>
      <w:tblPr>
        <w:tblW w:w="0" w:type="auto"/>
        <w:tblInd w:w="108" w:type="dxa"/>
        <w:tblLayout w:type="fixed"/>
        <w:tblLook w:val="0000"/>
      </w:tblPr>
      <w:tblGrid>
        <w:gridCol w:w="4248"/>
        <w:gridCol w:w="5102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Группа пациентов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Рекомендованное лечение согласно группе пациента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Пациенты с гипертензией с умеренно высоким риском ССЗ 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Терапия статинами, для достижения целевого уровня ЛПНП &lt; 3.0 ммоль/л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Пациенты с явной клинической картиной ишемической болезни сердца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Терапия статинами, для достижения целевого уровня ЛПНП &lt; 1.8 ммоль/л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Пациенты с гипертензией с перенесенным сердечно-сосудистым осложнением, с высоким риском ССЗ или сниженной почечной функцией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Низкие дозы аспирина 81 мг пуд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Пациенты с гипертензией, больные диабетом</w:t>
            </w:r>
          </w:p>
        </w:tc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>Лечение для достижения целевого уровня гликированного гемоглобина &lt;7.0%; у ослабленных пожилых пациентов с длительным периодом заболевания диабетом, большими осложнениями и с высоким риском, следует рассмотреть лечение для  достижения целевого уровня гликированного гемоглобина &lt;7.5–8.0%.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spacing w:val="-1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ст</w:t>
      </w:r>
      <w:r>
        <w:rPr>
          <w:rFonts w:ascii="Calibri" w:hAnsi="Calibri" w:cs="Calibri"/>
          <w:spacing w:val="1"/>
          <w:sz w:val="20"/>
          <w:szCs w:val="20"/>
        </w:rPr>
        <w:t>о</w:t>
      </w:r>
      <w:r>
        <w:rPr>
          <w:rFonts w:ascii="Calibri" w:hAnsi="Calibri" w:cs="Calibri"/>
          <w:spacing w:val="3"/>
          <w:sz w:val="20"/>
          <w:szCs w:val="20"/>
        </w:rPr>
        <w:t>ч</w:t>
      </w:r>
      <w:r>
        <w:rPr>
          <w:rFonts w:ascii="Calibri" w:hAnsi="Calibri" w:cs="Calibri"/>
          <w:spacing w:val="-1"/>
          <w:sz w:val="20"/>
          <w:szCs w:val="20"/>
        </w:rPr>
        <w:t>н</w:t>
      </w:r>
      <w:r>
        <w:rPr>
          <w:rFonts w:ascii="Calibri" w:hAnsi="Calibri" w:cs="Calibri"/>
          <w:sz w:val="20"/>
          <w:szCs w:val="20"/>
        </w:rPr>
        <w:t>и</w:t>
      </w:r>
      <w:r>
        <w:rPr>
          <w:rFonts w:ascii="Calibri" w:hAnsi="Calibri" w:cs="Calibri"/>
          <w:spacing w:val="1"/>
          <w:sz w:val="20"/>
          <w:szCs w:val="20"/>
        </w:rPr>
        <w:t>к</w:t>
      </w:r>
      <w:r>
        <w:rPr>
          <w:rFonts w:ascii="Calibri" w:hAnsi="Calibri" w:cs="Calibri"/>
          <w:sz w:val="20"/>
          <w:szCs w:val="20"/>
        </w:rPr>
        <w:t>:</w:t>
      </w:r>
      <w:r>
        <w:rPr>
          <w:rFonts w:ascii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А</w:t>
      </w:r>
      <w:r>
        <w:rPr>
          <w:rFonts w:ascii="Calibri" w:hAnsi="Calibri" w:cs="Calibri"/>
          <w:spacing w:val="-1"/>
          <w:sz w:val="20"/>
          <w:szCs w:val="20"/>
        </w:rPr>
        <w:t>д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pacing w:val="2"/>
          <w:sz w:val="20"/>
          <w:szCs w:val="20"/>
        </w:rPr>
        <w:t>п</w:t>
      </w:r>
      <w:r>
        <w:rPr>
          <w:rFonts w:ascii="Calibri" w:hAnsi="Calibri" w:cs="Calibri"/>
          <w:sz w:val="20"/>
          <w:szCs w:val="20"/>
        </w:rPr>
        <w:t>ти</w:t>
      </w:r>
      <w:r>
        <w:rPr>
          <w:rFonts w:ascii="Calibri" w:hAnsi="Calibri" w:cs="Calibri"/>
          <w:spacing w:val="1"/>
          <w:sz w:val="20"/>
          <w:szCs w:val="20"/>
        </w:rPr>
        <w:t>рова</w:t>
      </w:r>
      <w:r>
        <w:rPr>
          <w:rFonts w:ascii="Calibri" w:hAnsi="Calibri" w:cs="Calibri"/>
          <w:spacing w:val="-1"/>
          <w:sz w:val="20"/>
          <w:szCs w:val="20"/>
        </w:rPr>
        <w:t>н</w:t>
      </w:r>
      <w:r>
        <w:rPr>
          <w:rFonts w:ascii="Calibri" w:hAnsi="Calibri" w:cs="Calibri"/>
          <w:sz w:val="20"/>
          <w:szCs w:val="20"/>
        </w:rPr>
        <w:t>о</w:t>
      </w:r>
      <w:r>
        <w:rPr>
          <w:rFonts w:ascii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из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КР</w:t>
      </w:r>
      <w:r>
        <w:rPr>
          <w:rFonts w:ascii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Е</w:t>
      </w:r>
      <w:r>
        <w:rPr>
          <w:rFonts w:ascii="Calibri" w:hAnsi="Calibri" w:cs="Calibri"/>
          <w:sz w:val="20"/>
          <w:szCs w:val="20"/>
        </w:rPr>
        <w:t>ОК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pacing w:val="-1"/>
          <w:sz w:val="20"/>
          <w:szCs w:val="20"/>
        </w:rPr>
        <w:t>И</w:t>
      </w:r>
      <w:r>
        <w:rPr>
          <w:rFonts w:ascii="Calibri" w:hAnsi="Calibri" w:cs="Calibri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огова</w:t>
      </w:r>
      <w:r>
        <w:rPr>
          <w:rFonts w:ascii="Calibri" w:hAnsi="Calibri" w:cs="Calibri"/>
          <w:sz w:val="20"/>
          <w:szCs w:val="20"/>
        </w:rPr>
        <w:t>я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pacing w:val="1"/>
          <w:sz w:val="20"/>
          <w:szCs w:val="20"/>
        </w:rPr>
        <w:t>кар</w:t>
      </w:r>
      <w:r>
        <w:rPr>
          <w:rFonts w:ascii="Calibri" w:hAnsi="Calibri" w:cs="Calibri"/>
          <w:sz w:val="20"/>
          <w:szCs w:val="20"/>
        </w:rPr>
        <w:t>т</w:t>
      </w:r>
      <w:r>
        <w:rPr>
          <w:rFonts w:ascii="Calibri" w:hAnsi="Calibri" w:cs="Calibri"/>
          <w:spacing w:val="1"/>
          <w:sz w:val="20"/>
          <w:szCs w:val="20"/>
        </w:rPr>
        <w:t>а</w:t>
      </w:r>
      <w:r>
        <w:rPr>
          <w:rFonts w:ascii="Calibri" w:hAnsi="Calibri" w:cs="Calibri"/>
          <w:sz w:val="20"/>
          <w:szCs w:val="20"/>
        </w:rPr>
        <w:t xml:space="preserve"> (ст</w:t>
      </w:r>
      <w:r>
        <w:rPr>
          <w:rFonts w:ascii="Calibri" w:hAnsi="Calibri" w:cs="Calibri"/>
          <w:spacing w:val="1"/>
          <w:sz w:val="20"/>
          <w:szCs w:val="20"/>
        </w:rPr>
        <w:t>р</w:t>
      </w:r>
      <w:r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1). Европейское общество кардиологов [интернет].  Итоговая карта для общей практики. 2013г. [перепечатано 6 мая, 2015]. Доступно по ссылке: </w:t>
      </w:r>
      <w:hyperlink r:id="rId9" w:history="1">
        <w:r>
          <w:rPr>
            <w:rFonts w:ascii="Calibri" w:hAnsi="Calibri" w:cs="Calibri"/>
            <w:color w:val="0000FF"/>
            <w:sz w:val="20"/>
            <w:szCs w:val="20"/>
            <w:u w:val="single"/>
          </w:rPr>
          <w:t>http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://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www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escardio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org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Guidelines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&amp;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Education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Clinical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Practice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Guidelines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lastRenderedPageBreak/>
          <w:t>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Arterial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Hypertension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Management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z w:val="20"/>
            <w:szCs w:val="20"/>
            <w:u w:val="single"/>
            <w:lang w:val="en-US"/>
          </w:rPr>
          <w:t>HYPERLINK "http://www.escardio.org/Guidelines-&amp;-Education/Clinical-Practice-Guidelines/Arterial-Hypertension-Management-of"</w:t>
        </w:r>
        <w:r>
          <w:rPr>
            <w:rFonts w:ascii="Calibri" w:hAnsi="Calibri" w:cs="Calibri"/>
            <w:color w:val="0000FF"/>
            <w:sz w:val="20"/>
            <w:szCs w:val="20"/>
            <w:u w:val="single"/>
            <w:lang w:val="en-US"/>
          </w:rPr>
          <w:t>of</w:t>
        </w:r>
      </w:hyperlink>
      <w:r>
        <w:rPr>
          <w:rFonts w:ascii="Calibri" w:hAnsi="Calibri" w:cs="Calibri"/>
          <w:sz w:val="20"/>
          <w:szCs w:val="20"/>
          <w:vertAlign w:val="superscript"/>
        </w:rPr>
        <w:t>3</w:t>
      </w:r>
      <w:r>
        <w:rPr>
          <w:rFonts w:ascii="Calibri" w:hAnsi="Calibri" w:cs="Calibri"/>
          <w:sz w:val="20"/>
          <w:szCs w:val="20"/>
        </w:rPr>
        <w:t xml:space="preserve"> Авторские права 2013 г. ЕОГ/ЕОК. Перепечатано из материалов ЕОГ/ЕОК.*****РАЗРЕШЕНИЕ ЕЩЕ НЕ ПОЛУЧЕНО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3.5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Алгоритм титрования дозы</w:t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color w:val="211E1E"/>
        </w:rPr>
      </w:pPr>
      <w:r>
        <w:rPr>
          <w:rFonts w:ascii="Calibri" w:hAnsi="Calibri" w:cs="Calibri"/>
          <w:color w:val="211E1E"/>
        </w:rPr>
        <w:t>Руководство ЕОК предоставляет предложения по стратегии коррекции препаратов, если уровень АД находится под контролем. Для пациентов с низким или средним риском ССЗ или с небольшим повышением АД, возможно назначение одного антигипертензивного препарата. Однако, пациентам с высоким риском ССЗ или выраженным повышением АД следует рассмотреть назначение двух антигипертензивных препаратов. Для пациентов с низким риском ССЗ, врачи могут рассмотреть различные варианты монотерапии; при необходимости, добавьте дополнительные препараты. Таблица 13 рассматривает эти опции более детально.</w:t>
      </w: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Таблица 13: </w:t>
      </w:r>
      <w:r>
        <w:rPr>
          <w:rFonts w:ascii="Calibri" w:hAnsi="Calibri" w:cs="Calibri"/>
          <w:b/>
          <w:bCs/>
          <w:spacing w:val="1"/>
        </w:rPr>
        <w:t>Т</w:t>
      </w:r>
      <w:r>
        <w:rPr>
          <w:rFonts w:ascii="Calibri" w:hAnsi="Calibri" w:cs="Calibri"/>
          <w:b/>
          <w:bCs/>
          <w:spacing w:val="-1"/>
        </w:rPr>
        <w:t>и</w:t>
      </w:r>
      <w:r>
        <w:rPr>
          <w:rFonts w:ascii="Calibri" w:hAnsi="Calibri" w:cs="Calibri"/>
          <w:b/>
          <w:bCs/>
        </w:rPr>
        <w:t>т</w:t>
      </w:r>
      <w:r>
        <w:rPr>
          <w:rFonts w:ascii="Calibri" w:hAnsi="Calibri" w:cs="Calibri"/>
          <w:b/>
          <w:bCs/>
          <w:spacing w:val="-1"/>
        </w:rPr>
        <w:t>ро</w:t>
      </w:r>
      <w:r>
        <w:rPr>
          <w:rFonts w:ascii="Calibri" w:hAnsi="Calibri" w:cs="Calibri"/>
          <w:b/>
          <w:bCs/>
          <w:spacing w:val="1"/>
        </w:rPr>
        <w:t>в</w:t>
      </w:r>
      <w:r>
        <w:rPr>
          <w:rFonts w:ascii="Calibri" w:hAnsi="Calibri" w:cs="Calibri"/>
          <w:b/>
          <w:bCs/>
          <w:spacing w:val="-1"/>
        </w:rPr>
        <w:t>а</w:t>
      </w:r>
      <w:r>
        <w:rPr>
          <w:rFonts w:ascii="Calibri" w:hAnsi="Calibri" w:cs="Calibri"/>
          <w:b/>
          <w:bCs/>
        </w:rPr>
        <w:t>н</w:t>
      </w:r>
      <w:r>
        <w:rPr>
          <w:rFonts w:ascii="Calibri" w:hAnsi="Calibri" w:cs="Calibri"/>
          <w:b/>
          <w:bCs/>
          <w:spacing w:val="-1"/>
        </w:rPr>
        <w:t>и</w:t>
      </w:r>
      <w:r>
        <w:rPr>
          <w:rFonts w:ascii="Calibri" w:hAnsi="Calibri" w:cs="Calibri"/>
          <w:b/>
          <w:bCs/>
        </w:rPr>
        <w:t>е</w:t>
      </w:r>
      <w:r>
        <w:rPr>
          <w:rFonts w:ascii="Calibri" w:hAnsi="Calibri" w:cs="Calibri"/>
          <w:b/>
          <w:bCs/>
          <w:spacing w:val="-2"/>
        </w:rPr>
        <w:t xml:space="preserve"> </w:t>
      </w:r>
      <w:r>
        <w:rPr>
          <w:rFonts w:ascii="Calibri" w:hAnsi="Calibri" w:cs="Calibri"/>
          <w:b/>
          <w:bCs/>
          <w:spacing w:val="1"/>
        </w:rPr>
        <w:t>д</w:t>
      </w:r>
      <w:r>
        <w:rPr>
          <w:rFonts w:ascii="Calibri" w:hAnsi="Calibri" w:cs="Calibri"/>
          <w:b/>
          <w:bCs/>
          <w:spacing w:val="-1"/>
        </w:rPr>
        <w:t>о</w:t>
      </w:r>
      <w:r>
        <w:rPr>
          <w:rFonts w:ascii="Calibri" w:hAnsi="Calibri" w:cs="Calibri"/>
          <w:b/>
          <w:bCs/>
        </w:rPr>
        <w:t xml:space="preserve">з </w:t>
      </w:r>
      <w:r>
        <w:rPr>
          <w:rFonts w:ascii="Calibri" w:hAnsi="Calibri" w:cs="Calibri"/>
          <w:b/>
          <w:bCs/>
          <w:spacing w:val="-1"/>
        </w:rPr>
        <w:t>а</w:t>
      </w:r>
      <w:r>
        <w:rPr>
          <w:rFonts w:ascii="Calibri" w:hAnsi="Calibri" w:cs="Calibri"/>
          <w:b/>
          <w:bCs/>
        </w:rPr>
        <w:t>нт</w:t>
      </w:r>
      <w:r>
        <w:rPr>
          <w:rFonts w:ascii="Calibri" w:hAnsi="Calibri" w:cs="Calibri"/>
          <w:b/>
          <w:bCs/>
          <w:spacing w:val="-1"/>
        </w:rPr>
        <w:t>и</w:t>
      </w:r>
      <w:r>
        <w:rPr>
          <w:rFonts w:ascii="Calibri" w:hAnsi="Calibri" w:cs="Calibri"/>
          <w:b/>
          <w:bCs/>
          <w:spacing w:val="1"/>
        </w:rPr>
        <w:t>г</w:t>
      </w:r>
      <w:r>
        <w:rPr>
          <w:rFonts w:ascii="Calibri" w:hAnsi="Calibri" w:cs="Calibri"/>
          <w:b/>
          <w:bCs/>
          <w:spacing w:val="-1"/>
        </w:rPr>
        <w:t>и</w:t>
      </w:r>
      <w:r>
        <w:rPr>
          <w:rFonts w:ascii="Calibri" w:hAnsi="Calibri" w:cs="Calibri"/>
          <w:b/>
          <w:bCs/>
        </w:rPr>
        <w:t>п</w:t>
      </w:r>
      <w:r>
        <w:rPr>
          <w:rFonts w:ascii="Calibri" w:hAnsi="Calibri" w:cs="Calibri"/>
          <w:b/>
          <w:bCs/>
          <w:spacing w:val="-1"/>
        </w:rPr>
        <w:t>ер</w:t>
      </w:r>
      <w:r>
        <w:rPr>
          <w:rFonts w:ascii="Calibri" w:hAnsi="Calibri" w:cs="Calibri"/>
          <w:b/>
          <w:bCs/>
        </w:rPr>
        <w:t>т</w:t>
      </w:r>
      <w:r>
        <w:rPr>
          <w:rFonts w:ascii="Calibri" w:hAnsi="Calibri" w:cs="Calibri"/>
          <w:b/>
          <w:bCs/>
          <w:spacing w:val="-1"/>
        </w:rPr>
        <w:t>е</w:t>
      </w:r>
      <w:r>
        <w:rPr>
          <w:rFonts w:ascii="Calibri" w:hAnsi="Calibri" w:cs="Calibri"/>
          <w:b/>
          <w:bCs/>
        </w:rPr>
        <w:t>н</w:t>
      </w:r>
      <w:r>
        <w:rPr>
          <w:rFonts w:ascii="Calibri" w:hAnsi="Calibri" w:cs="Calibri"/>
          <w:b/>
          <w:bCs/>
          <w:spacing w:val="-1"/>
        </w:rPr>
        <w:t>зи</w:t>
      </w:r>
      <w:r>
        <w:rPr>
          <w:rFonts w:ascii="Calibri" w:hAnsi="Calibri" w:cs="Calibri"/>
          <w:b/>
          <w:bCs/>
          <w:spacing w:val="1"/>
        </w:rPr>
        <w:t>в</w:t>
      </w:r>
      <w:r>
        <w:rPr>
          <w:rFonts w:ascii="Calibri" w:hAnsi="Calibri" w:cs="Calibri"/>
          <w:b/>
          <w:bCs/>
        </w:rPr>
        <w:t>н</w:t>
      </w:r>
      <w:r>
        <w:rPr>
          <w:rFonts w:ascii="Calibri" w:hAnsi="Calibri" w:cs="Calibri"/>
          <w:b/>
          <w:bCs/>
          <w:spacing w:val="-4"/>
        </w:rPr>
        <w:t>о</w:t>
      </w:r>
      <w:r>
        <w:rPr>
          <w:rFonts w:ascii="Calibri" w:hAnsi="Calibri" w:cs="Calibri"/>
          <w:b/>
          <w:bCs/>
          <w:spacing w:val="1"/>
        </w:rPr>
        <w:t>г</w:t>
      </w:r>
      <w:r>
        <w:rPr>
          <w:rFonts w:ascii="Calibri" w:hAnsi="Calibri" w:cs="Calibri"/>
          <w:b/>
          <w:bCs/>
        </w:rPr>
        <w:t>о п</w:t>
      </w:r>
      <w:r>
        <w:rPr>
          <w:rFonts w:ascii="Calibri" w:hAnsi="Calibri" w:cs="Calibri"/>
          <w:b/>
          <w:bCs/>
          <w:spacing w:val="-1"/>
        </w:rPr>
        <w:t>ре</w:t>
      </w:r>
      <w:r>
        <w:rPr>
          <w:rFonts w:ascii="Calibri" w:hAnsi="Calibri" w:cs="Calibri"/>
          <w:b/>
          <w:bCs/>
        </w:rPr>
        <w:t>п</w:t>
      </w:r>
      <w:r>
        <w:rPr>
          <w:rFonts w:ascii="Calibri" w:hAnsi="Calibri" w:cs="Calibri"/>
          <w:b/>
          <w:bCs/>
          <w:spacing w:val="-1"/>
        </w:rPr>
        <w:t>ара</w:t>
      </w:r>
      <w:r>
        <w:rPr>
          <w:rFonts w:ascii="Calibri" w:hAnsi="Calibri" w:cs="Calibri"/>
          <w:b/>
          <w:bCs/>
        </w:rPr>
        <w:t>та</w:t>
      </w: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ind w:left="3261"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Выбрать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Небольшое повышение АД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Выраженное повышение АД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Низкий/средний СС риск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Высокий/очень высокий СС риск</w:t>
      </w: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Один препарат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Комбинация из двух препаратов</w:t>
      </w: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Перевести на </w:t>
      </w:r>
      <w:r>
        <w:rPr>
          <w:rFonts w:ascii="Times New Roman CYR" w:hAnsi="Times New Roman CYR" w:cs="Times New Roman CYR"/>
          <w:sz w:val="24"/>
          <w:szCs w:val="24"/>
        </w:rPr>
        <w:tab/>
        <w:t>Тот же препарат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Та же комбинация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Добавить третий 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другой препарат</w:t>
      </w:r>
      <w:r>
        <w:rPr>
          <w:rFonts w:ascii="Times New Roman CYR" w:hAnsi="Times New Roman CYR" w:cs="Times New Roman CYR"/>
          <w:sz w:val="24"/>
          <w:szCs w:val="24"/>
        </w:rPr>
        <w:tab/>
        <w:t>в полной дозе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в полной дозе</w:t>
      </w:r>
      <w:r>
        <w:rPr>
          <w:rFonts w:ascii="Times New Roman CYR" w:hAnsi="Times New Roman CYR" w:cs="Times New Roman CYR"/>
          <w:sz w:val="24"/>
          <w:szCs w:val="24"/>
        </w:rPr>
        <w:tab/>
        <w:t>препарат</w:t>
      </w: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Монотерапия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Комбинация из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Перевести на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Комбинация из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полной дозе</w:t>
      </w:r>
      <w:r>
        <w:rPr>
          <w:rFonts w:ascii="Times New Roman CYR" w:hAnsi="Times New Roman CYR" w:cs="Times New Roman CYR"/>
          <w:sz w:val="24"/>
          <w:szCs w:val="24"/>
        </w:rPr>
        <w:tab/>
        <w:t>двух препаратов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другую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трех препаратов в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</w:rPr>
        <w:t>в полных дозах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  <w:t>комбинацию из</w:t>
      </w:r>
      <w:r>
        <w:rPr>
          <w:rFonts w:ascii="Times New Roman CYR" w:hAnsi="Times New Roman CYR" w:cs="Times New Roman CYR"/>
          <w:sz w:val="24"/>
          <w:szCs w:val="24"/>
        </w:rPr>
        <w:tab/>
        <w:t>полных дозах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 CYR" w:hAnsi="Times New Roman CYR" w:cs="Times New Roman CYR"/>
          <w:sz w:val="24"/>
          <w:szCs w:val="24"/>
        </w:rPr>
        <w:t>двух препаратов</w:t>
      </w: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АД – артериальное давление, СС – сердечно-сосудистый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Источник: </w:t>
      </w:r>
      <w:r>
        <w:rPr>
          <w:rFonts w:ascii="Calibri" w:hAnsi="Calibri" w:cs="Calibri"/>
        </w:rPr>
        <w:t xml:space="preserve">ESC guidelines, Схема 3. 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 xml:space="preserve"> 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231F20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Ожидания:  Ожидается, что терапевты и кардиологи: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Выберут наиболее подходящий препарат с учетом наличия сопутствующих заболеваний (раздел 3.1).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Не будут назначать препараты, имеющие абсолютные противопоказания, будут избегать приема препаратов, имеющих относительные противопоказания (раздел 3.1).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Проведут быструю корректировку препаратов, если уровень АД пациента постоянно превышает целевой.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Будут проводить приемы пациентов с интервалом от 2 до 4 недель, при условии корректировки медикаментов (раздел 3.2).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Пропишут все рекомендованные лекарственные средства для сокращения риска сердечно-сосудистых заболеваний (раздел 3.3).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На каждом приеме будут документировать выбор препаратов, дозы и замену лекарств в Карте наблюдения за пациентами с гипертензией (см. раздел 4.2). Таким образом, предоставляется возможность создания графика аудита в целях контроля за соблюдением рекомендованного лечения.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lastRenderedPageBreak/>
        <w:t xml:space="preserve">4.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Мониторинг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Для более подробной информации, обратитесь к главе 8 КР ЕОК Последующее врачебное наблюдение, стр. 1332 - 1334.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4.1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Частота последующих приемов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Пациенты с высоким нормальным уровнем АД и гипертензией </w:t>
      </w:r>
      <w:r>
        <w:rPr>
          <w:rFonts w:ascii="Calibri" w:hAnsi="Calibri" w:cs="Calibri"/>
          <w:sz w:val="24"/>
          <w:szCs w:val="24"/>
          <w:lang w:val="en-US"/>
        </w:rPr>
        <w:t>«</w:t>
      </w:r>
      <w:r>
        <w:rPr>
          <w:rFonts w:ascii="Calibri" w:hAnsi="Calibri" w:cs="Calibri"/>
          <w:sz w:val="24"/>
          <w:szCs w:val="24"/>
        </w:rPr>
        <w:t>белого халата</w:t>
      </w:r>
      <w:r>
        <w:rPr>
          <w:rFonts w:ascii="Calibri" w:hAnsi="Calibri" w:cs="Calibri"/>
          <w:sz w:val="24"/>
          <w:szCs w:val="24"/>
          <w:lang w:val="en-US"/>
        </w:rPr>
        <w:t xml:space="preserve">», </w:t>
      </w:r>
      <w:r>
        <w:rPr>
          <w:rFonts w:ascii="Calibri" w:hAnsi="Calibri" w:cs="Calibri"/>
          <w:sz w:val="24"/>
          <w:szCs w:val="24"/>
        </w:rPr>
        <w:t xml:space="preserve">даже при отсутствии лечения, должны постоянно наблюдаться у врача согласно графику приемов, по крайней мере, ежегодно, для измерения давления </w:t>
      </w:r>
      <w:r>
        <w:rPr>
          <w:rFonts w:ascii="Calibri" w:hAnsi="Calibri" w:cs="Calibri"/>
        </w:rPr>
        <w:t xml:space="preserve">на приеме у врача </w:t>
      </w:r>
      <w:r>
        <w:rPr>
          <w:rFonts w:ascii="Calibri" w:hAnsi="Calibri" w:cs="Calibri"/>
          <w:sz w:val="24"/>
          <w:szCs w:val="24"/>
        </w:rPr>
        <w:t xml:space="preserve">и не </w:t>
      </w:r>
      <w:r>
        <w:rPr>
          <w:rFonts w:ascii="Calibri" w:hAnsi="Calibri" w:cs="Calibri"/>
        </w:rPr>
        <w:t>на приеме у врача</w:t>
      </w:r>
      <w:r>
        <w:rPr>
          <w:rFonts w:ascii="Calibri" w:hAnsi="Calibri" w:cs="Calibri"/>
          <w:sz w:val="24"/>
          <w:szCs w:val="24"/>
        </w:rPr>
        <w:t>, проверки риска развития ССЗ и для выполнения рекомендаций по изменению образа жизни.</w:t>
      </w:r>
      <w:r>
        <w:rPr>
          <w:rFonts w:ascii="Calibri" w:hAnsi="Calibri" w:cs="Calibri"/>
          <w:b/>
          <w:bCs/>
          <w:sz w:val="24"/>
          <w:szCs w:val="24"/>
          <w:vertAlign w:val="superscript"/>
        </w:rPr>
        <w:t>3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После назначения гипотензивной медикаментозной терапии больным с артериальной гипертензией, пациент должен наблюдаться с интервалами от 2 до 4 недель по мониторингу уровня АД и для снижения возможных побочных эффектов. Данный процесс должен продолжаться, пока целевой уровень АД не будет достигнут</w:t>
      </w:r>
      <w:r>
        <w:rPr>
          <w:rFonts w:ascii="Calibri" w:hAnsi="Calibri" w:cs="Calibri"/>
          <w:b/>
          <w:bCs/>
          <w:sz w:val="24"/>
          <w:szCs w:val="24"/>
          <w:vertAlign w:val="superscript"/>
        </w:rPr>
        <w:t>3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При стабилизации состояния, необходимо проводить детализированную оценку последующего наблюдения гипертензии, по крайней мере, через каждые три – шесть месяцев. 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В зависимости от местной организации здравоохранения, последующие визиты могут проводиться не врачами, а например медицинскими сестрами. Для стабильных пациентов, домашний мониторинг АД и общение с врачом по электронной почте может также обеспечить приемлемую альтернативу. Рекомендовано проводить оценку факторов риска и бессимптомное поражение органов, по крайней мере, каждые два года.</w:t>
      </w:r>
      <w:r>
        <w:rPr>
          <w:rFonts w:ascii="Calibri" w:hAnsi="Calibri" w:cs="Calibri"/>
          <w:b/>
          <w:bCs/>
          <w:sz w:val="24"/>
          <w:szCs w:val="24"/>
          <w:vertAlign w:val="superscript"/>
        </w:rPr>
        <w:t>3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Выявление неконтролиуемого АД всегда должно повлечь за собой поиск его причин, таких например, как несоблюдение лечения, устойчивый синдром </w:t>
      </w:r>
      <w:r>
        <w:rPr>
          <w:rFonts w:ascii="Calibri" w:hAnsi="Calibri" w:cs="Calibri"/>
          <w:sz w:val="24"/>
          <w:szCs w:val="24"/>
          <w:lang w:val="en-US"/>
        </w:rPr>
        <w:t>«</w:t>
      </w:r>
      <w:r>
        <w:rPr>
          <w:rFonts w:ascii="Calibri" w:hAnsi="Calibri" w:cs="Calibri"/>
          <w:sz w:val="24"/>
          <w:szCs w:val="24"/>
        </w:rPr>
        <w:t>белого халата</w:t>
      </w:r>
      <w:r>
        <w:rPr>
          <w:rFonts w:ascii="Calibri" w:hAnsi="Calibri" w:cs="Calibri"/>
          <w:sz w:val="24"/>
          <w:szCs w:val="24"/>
          <w:lang w:val="en-US"/>
        </w:rPr>
        <w:t xml:space="preserve">» </w:t>
      </w:r>
      <w:r>
        <w:rPr>
          <w:rFonts w:ascii="Calibri" w:hAnsi="Calibri" w:cs="Calibri"/>
          <w:sz w:val="24"/>
          <w:szCs w:val="24"/>
        </w:rPr>
        <w:t xml:space="preserve">или употребление веществ, повышающих АД. Необходимо предпринять соответствующие действия для лучшего контроля АД.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4.2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Карта наблюдения за пациентом ПУЗ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Карта наблюдения за пациентом по гипертензии должна заполняться на каждом комплексном приеме у терапевта/кардиолога. В итоге такая информация, как артериальное давление и класс АД, вес и корректировки препаратов должны быть задокументированы при каждом визите.</w:t>
      </w:r>
    </w:p>
    <w:p w:rsidR="002C3465" w:rsidRDefault="002C3465" w:rsidP="002C3465">
      <w:pPr>
        <w:autoSpaceDE w:val="0"/>
        <w:autoSpaceDN w:val="0"/>
        <w:adjustRightInd w:val="0"/>
        <w:spacing w:before="100" w:after="100" w:line="36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36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36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Рисунок 3: </w:t>
      </w:r>
      <w:r>
        <w:rPr>
          <w:rFonts w:ascii="Calibri" w:hAnsi="Calibri" w:cs="Calibri"/>
          <w:b/>
          <w:bCs/>
          <w:color w:val="211E1E"/>
        </w:rPr>
        <w:t>Образец карты наблюдения за пациентом по гипертензии</w:t>
      </w:r>
    </w:p>
    <w:p w:rsidR="002C3465" w:rsidRDefault="002C3465" w:rsidP="002C3465">
      <w:pPr>
        <w:autoSpaceDE w:val="0"/>
        <w:autoSpaceDN w:val="0"/>
        <w:adjustRightInd w:val="0"/>
        <w:spacing w:before="100" w:after="100" w:line="36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838825" cy="7705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781675" cy="57531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</w:rPr>
        <w:t xml:space="preserve">Версия: от 11 сентября, 2015. Источник: адаптировано из материалов Консультативного совета по руководствам и протоколам, Комиссия по медицинским услугам Британской Колумбии. Артериальная гипертензия – Выявление, постановка диагноза и ведение – Краткое содержание руководства. [домашняя страница в интернете]. 2008г. [перепечатано 8 мая, 2015]. Досутпно на сайте: </w:t>
      </w:r>
      <w:hyperlink r:id="rId12" w:history="1">
        <w:r>
          <w:rPr>
            <w:rFonts w:ascii="Calibri" w:hAnsi="Calibri" w:cs="Calibri"/>
            <w:color w:val="0000FF"/>
            <w:sz w:val="18"/>
            <w:szCs w:val="18"/>
            <w:u w:val="single"/>
          </w:rPr>
          <w:t>http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://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www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bcguidelines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z w:val="18"/>
            <w:szCs w:val="18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z w:val="18"/>
            <w:szCs w:val="18"/>
            <w:u w:val="single"/>
            <w:lang w:val="en-US"/>
          </w:rPr>
          <w:t>ca</w:t>
        </w:r>
      </w:hyperlink>
      <w:r>
        <w:rPr>
          <w:rFonts w:ascii="Calibri" w:hAnsi="Calibri" w:cs="Calibri"/>
          <w:sz w:val="18"/>
          <w:szCs w:val="18"/>
        </w:rPr>
        <w:t>.</w:t>
      </w:r>
      <w:r>
        <w:rPr>
          <w:rFonts w:ascii="Calibri" w:hAnsi="Calibri" w:cs="Calibri"/>
          <w:sz w:val="18"/>
          <w:szCs w:val="18"/>
          <w:vertAlign w:val="superscript"/>
        </w:rPr>
        <w:t>4</w:t>
      </w:r>
      <w:r>
        <w:rPr>
          <w:rFonts w:ascii="Calibri" w:hAnsi="Calibri" w:cs="Calibri"/>
          <w:sz w:val="18"/>
          <w:szCs w:val="18"/>
        </w:rPr>
        <w:t xml:space="preserve"> Авторские права</w:t>
      </w:r>
      <w:r>
        <w:rPr>
          <w:rFonts w:ascii="Calibri" w:hAnsi="Calibri" w:cs="Calibri"/>
          <w:i/>
          <w:iCs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2008г. Консультативный совет по руководствам и протоколам, Комиссии по медицинским услугам Британской Колумбии. Перепечатано с разрешения Консультативного совета по руководствам и протоколам, Комиссии по медицинским услугам Британской Колумбии для воспроизведения и распространения до 31 октября, 2015.</w:t>
      </w:r>
      <w:r>
        <w:rPr>
          <w:rFonts w:ascii="Calibri" w:hAnsi="Calibri" w:cs="Calibri"/>
          <w:sz w:val="18"/>
          <w:szCs w:val="18"/>
          <w:lang w:val="en-US"/>
        </w:rPr>
        <w:t xml:space="preserve">  </w:t>
      </w:r>
      <w:r>
        <w:rPr>
          <w:rFonts w:ascii="Calibri" w:hAnsi="Calibri" w:cs="Calibri"/>
          <w:color w:val="000000"/>
          <w:sz w:val="18"/>
          <w:szCs w:val="18"/>
          <w:lang w:val="en-US"/>
        </w:rPr>
        <w:t xml:space="preserve">CSIH </w:t>
      </w:r>
      <w:r>
        <w:rPr>
          <w:rFonts w:ascii="Calibri" w:hAnsi="Calibri" w:cs="Calibri"/>
          <w:color w:val="000000"/>
          <w:sz w:val="18"/>
          <w:szCs w:val="18"/>
        </w:rPr>
        <w:t>признает, что Британская Колумбия является и будет владельцем прав интеллектуальной собственности данного материала и переведенной версии. Британская Колумбия сохраняет полные прав по использованию, воспроизведению и распространению копий данного материала и переведенной версии любым образом и в случае, когда Британская Колумбия может распоряжаться  ими по своему усмотрению.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Ожидания</w:t>
      </w:r>
      <w:r>
        <w:rPr>
          <w:rFonts w:ascii="Calibri" w:hAnsi="Calibri" w:cs="Calibri"/>
        </w:rPr>
        <w:t xml:space="preserve">: все поликлиники в Казахстане должны использовать стандартные Карты наблюдения по гипертензии и постоянно обновлять их. Последующее наблюдение должны происходить через каждые три-шесть месяцев, и поликлиника должна демонстрировать, что она сделала все разумные </w:t>
      </w:r>
      <w:r>
        <w:rPr>
          <w:rFonts w:ascii="Calibri" w:hAnsi="Calibri" w:cs="Calibri"/>
        </w:rPr>
        <w:lastRenderedPageBreak/>
        <w:t>попытки запланировать данные последующие визиты. Информация, включая данные об артериальном давлении, весе и лекарственных средствах, должна фиксироваться на каждом визите. Ежегодные мероприятия (например, вакцинации, уровень содержания липидов и исследования на функцию почек) также следует указывать в карте наблюдения.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4.3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Регистры пациентов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Поликлиники должны вести регистр всех пациентов с гипертензией и информацией, указанной ниже, которая необходима для расчета ключевых показателей качества медицинской помощи. 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Таблица 14:  </w:t>
      </w:r>
      <w:r>
        <w:rPr>
          <w:rFonts w:ascii="Calibri" w:hAnsi="Calibri" w:cs="Calibri"/>
          <w:b/>
          <w:bCs/>
          <w:color w:val="211E1E"/>
        </w:rPr>
        <w:t>Образец регистра по артериальной гипертензии</w:t>
      </w:r>
    </w:p>
    <w:p w:rsidR="002C3465" w:rsidRDefault="002C3465" w:rsidP="002C3465">
      <w:pPr>
        <w:keepNext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05475" cy="14478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5705475" cy="885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Ожидание:</w:t>
      </w:r>
      <w:r>
        <w:rPr>
          <w:rFonts w:ascii="Calibri" w:hAnsi="Calibri" w:cs="Calibri"/>
        </w:rPr>
        <w:t xml:space="preserve">  Всем поликлиникам необходимо: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Вводить данные в Карту наблюдения после каждого приема пациента с диабетом.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Сохранять архивированную копию регистра в конце каждого месяца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Использовать регистр для помощи в выявлении пациентов, которые должны прийти на прием. Список пациентов для обзвона внутри вкладок регистра включает пациентов, которые не явились в срок на анализы и прием; данных пациентов следует принять как можно скорее. В Списке для обзвона также определены пациенты, которые находятся под хорошим, недостаточным или плохим контролем. Хорошо контролируемые пациенты должны посещать врача каждые 6 месяцев; недостаточно контролируемые пациенты, по крайней мере, каждые </w:t>
      </w:r>
      <w:r>
        <w:rPr>
          <w:rFonts w:ascii="Calibri" w:hAnsi="Calibri" w:cs="Calibri"/>
        </w:rPr>
        <w:lastRenderedPageBreak/>
        <w:t>3 месяца; и плохо контролируемые пациенты, по крайней мере, ежемесячно. По усмотрению врача, данные временные интервалы можно сократить, если у пациента есть сопутствующие заболевания или осложнения.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br w:type="page"/>
      </w:r>
    </w:p>
    <w:p w:rsidR="002C3465" w:rsidRDefault="002C3465" w:rsidP="002C3465">
      <w:pPr>
        <w:autoSpaceDE w:val="0"/>
        <w:autoSpaceDN w:val="0"/>
        <w:adjustRightInd w:val="0"/>
        <w:ind w:left="360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Таблица 15:  Список для обзвона по диабету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695950" cy="7715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5.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Вовлечение пациента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Данный раздел описывает ожидания медицинских работников в обеспечении вовлечения пациентов в процесс лечения путем обучения пациентов и поддержки самоменеджмента. Обучение пациентов стремится информировать пациента о характере заболевания, преимуществах его эффективного управления, актуальных задачах и навыках (таких как мониторинг и прием лекарств), а также об изменении образа жизни на здоровый.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Несмотря на то, что обучение является первым важным шагом, зачастую само по себе оно не влечет желаемые изменения в поведении. Поддержка самоменеджмента стремится усилить изменение поведения, помогая пациентам достигать целей по состоянию здоровья. Самоменеджмент часто предлагает пациентам начать с небольших, реалистичных и достижимых целей; а также достижение таких целей в итоге принесет пациенту уверенность в достижении и других изменений и улучшения образа жизни.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У большинства пациентов развитие навыков самоменеджмента требует определенного времени, поэтому им необходимо оказывать постоянную поддержку и моральное поощрение. Работникам здравоохранения необходимо осуществить переход от обеспечения информацией и руководств к направлению и поддержке пациента для приобретения навыков самоуправления своим здоровьем в сотрудничестве с командой медицинских работников.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>Системы эффективного лечения предусматривают роль пациента в самоменеджменте на всех этапах взаимодействия, в том числе на этапе диагностики, определения уровня взаимодействия в соответствии с пожеланиями и уровнем медицинской грамотности пациента.</w:t>
      </w:r>
      <w:r>
        <w:rPr>
          <w:rFonts w:ascii="Calibri" w:hAnsi="Calibri" w:cs="Calibri"/>
          <w:color w:val="FF0000"/>
        </w:rPr>
        <w:t xml:space="preserve">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  <w:lang w:val="en-US"/>
        </w:rPr>
        <w:t xml:space="preserve">5.1  </w:t>
      </w:r>
      <w:r>
        <w:rPr>
          <w:rFonts w:ascii="Calibri" w:hAnsi="Calibri" w:cs="Calibri"/>
          <w:b/>
          <w:bCs/>
          <w:color w:val="000000"/>
        </w:rPr>
        <w:t>Обучение пациентов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Рекомендуется направить пациентов с гипертензией на обучение в Школе здорового образа жизни по таким темам, как: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Природа гипертензии, в том числе: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Признаки и симптомы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Осложнения гипертензии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Предлагаемые цели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Мониторинг артериального давления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Ведение здорового образа жизни, включая: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Здоровое питание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Физические упражнения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Отказ от курения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Употребление алкогольных напитков</w:t>
      </w:r>
    </w:p>
    <w:p w:rsidR="002C3465" w:rsidRDefault="002C3465" w:rsidP="002C3465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Calibri" w:hAnsi="Calibri" w:cs="Calibri"/>
        </w:rPr>
      </w:pPr>
      <w:r>
        <w:rPr>
          <w:rFonts w:ascii="Calibri" w:hAnsi="Calibri" w:cs="Calibri"/>
        </w:rPr>
        <w:t>Другие аспекты здорового образа жизни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Направление к специалисту происходит во время постановки диагноза, а повторное направление происходит по взаимной договоренности с пациентом или в случае существенных изменений в плане лечения.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Ожидания:</w:t>
      </w:r>
      <w:r>
        <w:rPr>
          <w:rFonts w:ascii="Calibri" w:hAnsi="Calibri" w:cs="Calibri"/>
        </w:rPr>
        <w:t xml:space="preserve"> Поликлиники несут ответственность за создание процессов по обеспечению направлений к специалистам. В случае отказа пациента от направления к специалисту, рекомендуется документировать причины отказа для получения поликлиникой информации о методах улучшения оказания медицинских услуг и настройках системы оповещения для соответствия нуждам пациентов.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lang w:val="en-US"/>
        </w:rPr>
        <w:t>5</w:t>
      </w:r>
      <w:r>
        <w:rPr>
          <w:rFonts w:ascii="Calibri" w:hAnsi="Calibri" w:cs="Calibri"/>
          <w:b/>
          <w:bCs/>
          <w:color w:val="000000"/>
          <w:lang w:val="en-US"/>
        </w:rPr>
        <w:t xml:space="preserve">.2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План лечения пациента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Далее приведен шаблон комплексного индивидуального плана лечения гипертензии,</w:t>
      </w:r>
      <w:r>
        <w:rPr>
          <w:rFonts w:ascii="Calibri" w:hAnsi="Calibri" w:cs="Calibri"/>
          <w:lang w:val="en-US"/>
        </w:rPr>
        <w:t> </w:t>
      </w:r>
      <w:r>
        <w:rPr>
          <w:rFonts w:ascii="Calibri" w:hAnsi="Calibri" w:cs="Calibri"/>
        </w:rPr>
        <w:t>который суммирует цели лечения и изменения образа жизни, а также действий в случае заболевания. В идеале, пациент и медицинский работник будут разрабатывать содержание данного плана совместно и план будет индивидуальным, принимая во внимание, объем возможных изменений пациентом в течение короткого периода времени.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870"/>
        <w:gridCol w:w="3362"/>
        <w:gridCol w:w="3232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557"/>
        </w:trPr>
        <w:tc>
          <w:tcPr>
            <w:tcW w:w="94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Индивидуальный план действий по артериальной гипертензии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ПЛАН ЭКСТРЕННЫХ МЕР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ЗОНА</w:t>
            </w:r>
          </w:p>
        </w:tc>
        <w:tc>
          <w:tcPr>
            <w:tcW w:w="3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Считывание АД и симптомов</w:t>
            </w: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</w:rPr>
              <w:t>План действий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Зеленая зона означает Вперед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 xml:space="preserve">•  </w:t>
            </w:r>
            <w:r>
              <w:rPr>
                <w:rFonts w:ascii="Calibri" w:hAnsi="Calibri" w:cs="Calibri"/>
              </w:rPr>
              <w:t>Это означает, что ваше артериальное давление  хорошо контролируется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Следуйте Зеленой зоне по плану действий</w:t>
            </w:r>
          </w:p>
        </w:tc>
        <w:tc>
          <w:tcPr>
            <w:tcW w:w="3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Систолическое АД &lt; ___ и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Диастолическое АД &lt; 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Нет главных симптомов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Если вы принимаете лекарство, продолжайте прием по назначению врача.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Следуйте плану лечения и продолжайте свои привычные действия . 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Продолжайте все мероприятия по изменению поведения.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3687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Желтая зона означает Осторожно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 xml:space="preserve">Это означает, что ваше артериальное давление плохо контролируется 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Следуйте Желтой зоне согласно плану действий</w:t>
            </w:r>
          </w:p>
        </w:tc>
        <w:tc>
          <w:tcPr>
            <w:tcW w:w="3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Систолическое АД  выше___ или ниже___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или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Диастолическое АД  выше___ или ниже___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Возникли следующие симптомы: головокружение, кашель, головная боль, утомляемость, депрессивный синдром (возможные побочные эффекты лекарств) </w:t>
            </w: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Уведомите медицинского работника о показателях АД и появлении данных симптомов.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</w:rPr>
              <w:t xml:space="preserve">Спросите совета по лекарственным средствам. 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4675"/>
        </w:trPr>
        <w:tc>
          <w:tcPr>
            <w:tcW w:w="28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000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Красная зона означает Остановитесь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Это означает, что у вас появилась осложненная гипертензия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 xml:space="preserve">• </w:t>
            </w:r>
            <w:r>
              <w:rPr>
                <w:rFonts w:ascii="Calibri" w:hAnsi="Calibri" w:cs="Calibri"/>
              </w:rPr>
              <w:t>Следуйте Желтой зоне согласно плану действий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000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При следующих симптомах: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Боль в груди, онемение рук (признаки сердечного приступа)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Внезапное онемение или слабость </w:t>
            </w:r>
            <w:r>
              <w:rPr>
                <w:rFonts w:ascii="Calibri" w:hAnsi="Calibri" w:cs="Calibri"/>
                <w:lang w:val="en-US"/>
              </w:rPr>
              <w:t> </w:t>
            </w:r>
            <w:r>
              <w:rPr>
                <w:rFonts w:ascii="Calibri" w:hAnsi="Calibri" w:cs="Calibri"/>
              </w:rPr>
              <w:t>одной стороны тела, или потеря равновесия; внезапное помрачение сознания или трудности с речью; Внезапная потеря зрения (признаки инсульта)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Сильная головная боль 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Тяжелое профузное носовое кровотечение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2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0000"/>
          </w:tcPr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Повоните работникам вашей полкилиники, отправляйтесь в ближайший пункт неотложной помощи или вызовите бригаду скорой медицинской помощи.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Индивидуальный план по уходу (часть 3) –исходные показатели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176"/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-1"/>
        </w:rPr>
        <w:t>Н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п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ены 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ан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значе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ия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-2"/>
        </w:rPr>
        <w:t>л</w:t>
      </w:r>
      <w:r>
        <w:rPr>
          <w:rFonts w:ascii="Calibri" w:hAnsi="Calibri" w:cs="Calibri"/>
        </w:rPr>
        <w:t>я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1"/>
        </w:rPr>
        <w:t>к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  <w:spacing w:val="-3"/>
        </w:rPr>
        <w:t>д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го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з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ш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  <w:spacing w:val="1"/>
        </w:rPr>
        <w:t>ук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2"/>
        </w:rPr>
        <w:t>з</w:t>
      </w:r>
      <w:r>
        <w:rPr>
          <w:rFonts w:ascii="Calibri" w:hAnsi="Calibri" w:cs="Calibri"/>
        </w:rPr>
        <w:t>анн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п</w:t>
      </w:r>
      <w:r>
        <w:rPr>
          <w:rFonts w:ascii="Calibri" w:hAnsi="Calibri" w:cs="Calibri"/>
          <w:spacing w:val="1"/>
        </w:rPr>
        <w:t>у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1"/>
        </w:rPr>
        <w:t>к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в.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Н</w:t>
      </w:r>
      <w:r>
        <w:rPr>
          <w:rFonts w:ascii="Calibri" w:hAnsi="Calibri" w:cs="Calibri"/>
        </w:rPr>
        <w:t>ес</w:t>
      </w:r>
      <w:r>
        <w:rPr>
          <w:rFonts w:ascii="Calibri" w:hAnsi="Calibri" w:cs="Calibri"/>
          <w:spacing w:val="-3"/>
        </w:rPr>
        <w:t>м</w:t>
      </w:r>
      <w:r>
        <w:rPr>
          <w:rFonts w:ascii="Calibri" w:hAnsi="Calibri" w:cs="Calibri"/>
          <w:spacing w:val="1"/>
        </w:rPr>
        <w:t>от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</w:rPr>
        <w:t>я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на</w:t>
      </w:r>
      <w:r>
        <w:rPr>
          <w:rFonts w:ascii="Calibri" w:hAnsi="Calibri" w:cs="Calibri"/>
          <w:spacing w:val="1"/>
        </w:rPr>
        <w:t xml:space="preserve"> э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, план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б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ь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с</w:t>
      </w:r>
      <w:r>
        <w:rPr>
          <w:rFonts w:ascii="Calibri" w:hAnsi="Calibri" w:cs="Calibri"/>
          <w:spacing w:val="1"/>
        </w:rPr>
        <w:t>ко</w:t>
      </w:r>
      <w:r>
        <w:rPr>
          <w:rFonts w:ascii="Calibri" w:hAnsi="Calibri" w:cs="Calibri"/>
          <w:spacing w:val="-1"/>
        </w:rPr>
        <w:t>рр</w:t>
      </w:r>
      <w:r>
        <w:rPr>
          <w:rFonts w:ascii="Calibri" w:hAnsi="Calibri" w:cs="Calibri"/>
          <w:spacing w:val="-2"/>
        </w:rPr>
        <w:t>ек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>ро</w:t>
      </w:r>
      <w:r>
        <w:rPr>
          <w:rFonts w:ascii="Calibri" w:hAnsi="Calibri" w:cs="Calibri"/>
        </w:rPr>
        <w:t>ван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ля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па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ие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а;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</w:rPr>
        <w:t>ач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ме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инс</w:t>
      </w:r>
      <w:r>
        <w:rPr>
          <w:rFonts w:ascii="Calibri" w:hAnsi="Calibri" w:cs="Calibri"/>
          <w:spacing w:val="-2"/>
        </w:rPr>
        <w:t>к</w:t>
      </w:r>
      <w:r>
        <w:rPr>
          <w:rFonts w:ascii="Calibri" w:hAnsi="Calibri" w:cs="Calibri"/>
        </w:rPr>
        <w:t>ие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2"/>
        </w:rPr>
        <w:t>б</w:t>
      </w:r>
      <w:r>
        <w:rPr>
          <w:rFonts w:ascii="Calibri" w:hAnsi="Calibri" w:cs="Calibri"/>
          <w:spacing w:val="1"/>
        </w:rPr>
        <w:t>от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"/>
        </w:rPr>
        <w:t>ки</w:t>
      </w:r>
      <w:r>
        <w:rPr>
          <w:rFonts w:ascii="Calibri" w:hAnsi="Calibri" w:cs="Calibri"/>
        </w:rPr>
        <w:t>, за</w:t>
      </w:r>
      <w:r>
        <w:rPr>
          <w:rFonts w:ascii="Calibri" w:hAnsi="Calibri" w:cs="Calibri"/>
          <w:spacing w:val="-2"/>
        </w:rPr>
        <w:t>п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лн</w:t>
      </w:r>
      <w:r>
        <w:rPr>
          <w:rFonts w:ascii="Calibri" w:hAnsi="Calibri" w:cs="Calibri"/>
          <w:spacing w:val="-2"/>
        </w:rPr>
        <w:t>я</w:t>
      </w:r>
      <w:r>
        <w:rPr>
          <w:rFonts w:ascii="Calibri" w:hAnsi="Calibri" w:cs="Calibri"/>
        </w:rPr>
        <w:t>я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анн</w:t>
      </w:r>
      <w:r>
        <w:rPr>
          <w:rFonts w:ascii="Calibri" w:hAnsi="Calibri" w:cs="Calibri"/>
          <w:spacing w:val="1"/>
        </w:rPr>
        <w:t>у</w:t>
      </w:r>
      <w:r>
        <w:rPr>
          <w:rFonts w:ascii="Calibri" w:hAnsi="Calibri" w:cs="Calibri"/>
        </w:rPr>
        <w:t xml:space="preserve">ю </w:t>
      </w:r>
      <w:r>
        <w:rPr>
          <w:rFonts w:ascii="Calibri" w:hAnsi="Calibri" w:cs="Calibri"/>
          <w:spacing w:val="-1"/>
        </w:rPr>
        <w:lastRenderedPageBreak/>
        <w:t>ф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му,</w:t>
      </w:r>
      <w:r>
        <w:rPr>
          <w:rFonts w:ascii="Calibri" w:hAnsi="Calibri" w:cs="Calibri"/>
          <w:spacing w:val="25"/>
        </w:rPr>
        <w:t xml:space="preserve"> </w:t>
      </w:r>
      <w:r>
        <w:rPr>
          <w:rFonts w:ascii="Calibri" w:hAnsi="Calibri" w:cs="Calibri"/>
          <w:spacing w:val="-3"/>
        </w:rPr>
        <w:t>м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г</w:t>
      </w:r>
      <w:r>
        <w:rPr>
          <w:rFonts w:ascii="Calibri" w:hAnsi="Calibri" w:cs="Calibri"/>
          <w:spacing w:val="-2"/>
        </w:rPr>
        <w:t>у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23"/>
        </w:rPr>
        <w:t xml:space="preserve"> </w:t>
      </w:r>
      <w:r>
        <w:rPr>
          <w:rFonts w:ascii="Calibri" w:hAnsi="Calibri" w:cs="Calibri"/>
          <w:spacing w:val="1"/>
        </w:rPr>
        <w:t>ук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2"/>
        </w:rPr>
        <w:t>з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ь</w:t>
      </w:r>
      <w:r>
        <w:rPr>
          <w:rFonts w:ascii="Calibri" w:hAnsi="Calibri" w:cs="Calibri"/>
          <w:spacing w:val="24"/>
        </w:rPr>
        <w:t xml:space="preserve"> 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3"/>
        </w:rPr>
        <w:t>а</w:t>
      </w:r>
      <w:r>
        <w:rPr>
          <w:rFonts w:ascii="Calibri" w:hAnsi="Calibri" w:cs="Calibri"/>
        </w:rPr>
        <w:t>лис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</w:rPr>
        <w:t>ичн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25"/>
        </w:rPr>
        <w:t xml:space="preserve"> </w:t>
      </w:r>
      <w:r>
        <w:rPr>
          <w:rFonts w:ascii="Calibri" w:hAnsi="Calibri" w:cs="Calibri"/>
        </w:rPr>
        <w:t>на</w:t>
      </w:r>
      <w:r>
        <w:rPr>
          <w:rFonts w:ascii="Calibri" w:hAnsi="Calibri" w:cs="Calibri"/>
          <w:spacing w:val="24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анн</w:t>
      </w:r>
      <w:r>
        <w:rPr>
          <w:rFonts w:ascii="Calibri" w:hAnsi="Calibri" w:cs="Calibri"/>
          <w:spacing w:val="-3"/>
        </w:rPr>
        <w:t>ы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25"/>
        </w:rPr>
        <w:t xml:space="preserve"> 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мент</w:t>
      </w:r>
      <w:r>
        <w:rPr>
          <w:rFonts w:ascii="Calibri" w:hAnsi="Calibri" w:cs="Calibri"/>
          <w:spacing w:val="26"/>
        </w:rPr>
        <w:t xml:space="preserve"> 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ел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25"/>
        </w:rPr>
        <w:t xml:space="preserve"> 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25"/>
        </w:rPr>
        <w:t xml:space="preserve"> </w:t>
      </w:r>
      <w:r>
        <w:rPr>
          <w:rFonts w:ascii="Calibri" w:hAnsi="Calibri" w:cs="Calibri"/>
          <w:spacing w:val="-2"/>
        </w:rPr>
        <w:t>у</w:t>
      </w:r>
      <w:r>
        <w:rPr>
          <w:rFonts w:ascii="Calibri" w:hAnsi="Calibri" w:cs="Calibri"/>
        </w:rPr>
        <w:t>че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24"/>
        </w:rPr>
        <w:t xml:space="preserve"> 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ния</w:t>
      </w:r>
      <w:r>
        <w:rPr>
          <w:rFonts w:ascii="Calibri" w:hAnsi="Calibri" w:cs="Calibri"/>
          <w:spacing w:val="26"/>
        </w:rPr>
        <w:t xml:space="preserve"> </w:t>
      </w:r>
      <w:r>
        <w:rPr>
          <w:rFonts w:ascii="Calibri" w:hAnsi="Calibri" w:cs="Calibri"/>
        </w:rPr>
        <w:t>п</w:t>
      </w:r>
      <w:r>
        <w:rPr>
          <w:rFonts w:ascii="Calibri" w:hAnsi="Calibri" w:cs="Calibri"/>
          <w:spacing w:val="-3"/>
        </w:rPr>
        <w:t>а</w:t>
      </w:r>
      <w:r>
        <w:rPr>
          <w:rFonts w:ascii="Calibri" w:hAnsi="Calibri" w:cs="Calibri"/>
        </w:rPr>
        <w:t>ц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ен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а,</w:t>
      </w:r>
      <w:r>
        <w:rPr>
          <w:rFonts w:ascii="Calibri" w:hAnsi="Calibri" w:cs="Calibri"/>
          <w:spacing w:val="22"/>
        </w:rPr>
        <w:t xml:space="preserve"> </w:t>
      </w:r>
      <w:r>
        <w:rPr>
          <w:rFonts w:ascii="Calibri" w:hAnsi="Calibri" w:cs="Calibri"/>
        </w:rPr>
        <w:t>вме</w:t>
      </w:r>
      <w:r>
        <w:rPr>
          <w:rFonts w:ascii="Calibri" w:hAnsi="Calibri" w:cs="Calibri"/>
          <w:spacing w:val="-2"/>
        </w:rPr>
        <w:t>ст</w:t>
      </w:r>
      <w:r>
        <w:rPr>
          <w:rFonts w:ascii="Calibri" w:hAnsi="Calibri" w:cs="Calibri"/>
        </w:rPr>
        <w:t xml:space="preserve">о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анн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ан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н</w:t>
      </w:r>
      <w:r>
        <w:rPr>
          <w:rFonts w:ascii="Calibri" w:hAnsi="Calibri" w:cs="Calibri"/>
          <w:spacing w:val="-3"/>
        </w:rPr>
        <w:t>ы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зна</w:t>
      </w:r>
      <w:r>
        <w:rPr>
          <w:rFonts w:ascii="Calibri" w:hAnsi="Calibri" w:cs="Calibri"/>
          <w:spacing w:val="-3"/>
        </w:rPr>
        <w:t>ч</w:t>
      </w:r>
      <w:r>
        <w:rPr>
          <w:rFonts w:ascii="Calibri" w:hAnsi="Calibri" w:cs="Calibri"/>
        </w:rPr>
        <w:t>ени</w:t>
      </w:r>
      <w:r>
        <w:rPr>
          <w:rFonts w:ascii="Calibri" w:hAnsi="Calibri" w:cs="Calibri"/>
          <w:spacing w:val="1"/>
        </w:rPr>
        <w:t>й</w:t>
      </w:r>
      <w:r>
        <w:rPr>
          <w:rFonts w:ascii="Calibri" w:hAnsi="Calibri" w:cs="Calibri"/>
        </w:rPr>
        <w:t>.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right="8741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9" w:after="0" w:line="260" w:lineRule="atLeast"/>
        <w:rPr>
          <w:rFonts w:ascii="Calibri" w:hAnsi="Calibri" w:cs="Calibri"/>
          <w:sz w:val="26"/>
          <w:szCs w:val="26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19" w:right="178" w:firstLine="1"/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М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й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еле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й</w:t>
      </w:r>
      <w:r>
        <w:rPr>
          <w:rFonts w:ascii="Calibri" w:hAnsi="Calibri" w:cs="Calibri"/>
          <w:spacing w:val="16"/>
        </w:rPr>
        <w:t xml:space="preserve"> </w:t>
      </w:r>
      <w:r>
        <w:rPr>
          <w:rFonts w:ascii="Calibri" w:hAnsi="Calibri" w:cs="Calibri"/>
          <w:spacing w:val="1"/>
        </w:rPr>
        <w:t>у</w:t>
      </w:r>
      <w:r>
        <w:rPr>
          <w:rFonts w:ascii="Calibri" w:hAnsi="Calibri" w:cs="Calibri"/>
          <w:spacing w:val="-1"/>
        </w:rPr>
        <w:t>ро</w:t>
      </w:r>
      <w:r>
        <w:rPr>
          <w:rFonts w:ascii="Calibri" w:hAnsi="Calibri" w:cs="Calibri"/>
        </w:rPr>
        <w:t>вень</w:t>
      </w:r>
      <w:r>
        <w:rPr>
          <w:rFonts w:ascii="Calibri" w:hAnsi="Calibri" w:cs="Calibri"/>
          <w:spacing w:val="17"/>
        </w:rPr>
        <w:t xml:space="preserve"> </w:t>
      </w:r>
      <w:r>
        <w:rPr>
          <w:rFonts w:ascii="Calibri" w:hAnsi="Calibri" w:cs="Calibri"/>
          <w:spacing w:val="-1"/>
        </w:rPr>
        <w:t>А</w:t>
      </w:r>
      <w:r>
        <w:rPr>
          <w:rFonts w:ascii="Calibri" w:hAnsi="Calibri" w:cs="Calibri"/>
          <w:spacing w:val="-3"/>
        </w:rPr>
        <w:t>Д</w:t>
      </w:r>
      <w:r>
        <w:rPr>
          <w:rFonts w:ascii="Calibri" w:hAnsi="Calibri" w:cs="Calibri"/>
        </w:rPr>
        <w:t xml:space="preserve">: </w:t>
      </w:r>
      <w:r>
        <w:rPr>
          <w:rFonts w:ascii="Calibri" w:hAnsi="Calibri" w:cs="Calibri"/>
          <w:spacing w:val="36"/>
        </w:rPr>
        <w:t xml:space="preserve"> </w:t>
      </w:r>
      <w:r>
        <w:rPr>
          <w:rFonts w:ascii="Calibri" w:hAnsi="Calibri" w:cs="Calibri"/>
          <w:spacing w:val="-2"/>
        </w:rPr>
        <w:t>1</w:t>
      </w:r>
      <w:r>
        <w:rPr>
          <w:rFonts w:ascii="Calibri" w:hAnsi="Calibri" w:cs="Calibri"/>
          <w:spacing w:val="1"/>
        </w:rPr>
        <w:t>4</w:t>
      </w:r>
      <w:r>
        <w:rPr>
          <w:rFonts w:ascii="Calibri" w:hAnsi="Calibri" w:cs="Calibri"/>
          <w:spacing w:val="-2"/>
        </w:rPr>
        <w:t>0</w:t>
      </w:r>
      <w:r>
        <w:rPr>
          <w:rFonts w:ascii="Calibri" w:hAnsi="Calibri" w:cs="Calibri"/>
          <w:spacing w:val="1"/>
        </w:rPr>
        <w:t>/</w:t>
      </w:r>
      <w:r>
        <w:rPr>
          <w:rFonts w:ascii="Calibri" w:hAnsi="Calibri" w:cs="Calibri"/>
          <w:spacing w:val="-2"/>
        </w:rPr>
        <w:t>9</w:t>
      </w:r>
      <w:r>
        <w:rPr>
          <w:rFonts w:ascii="Calibri" w:hAnsi="Calibri" w:cs="Calibri"/>
          <w:spacing w:val="1"/>
        </w:rPr>
        <w:t>0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32"/>
        </w:rPr>
        <w:t xml:space="preserve"> </w:t>
      </w:r>
      <w:r>
        <w:rPr>
          <w:rFonts w:ascii="Calibri" w:hAnsi="Calibri" w:cs="Calibri"/>
          <w:spacing w:val="1"/>
        </w:rPr>
        <w:t>Р</w:t>
      </w:r>
      <w:r>
        <w:rPr>
          <w:rFonts w:ascii="Calibri" w:hAnsi="Calibri" w:cs="Calibri"/>
        </w:rPr>
        <w:t>асс</w:t>
      </w:r>
      <w:r>
        <w:rPr>
          <w:rFonts w:ascii="Calibri" w:hAnsi="Calibri" w:cs="Calibri"/>
          <w:spacing w:val="-3"/>
        </w:rPr>
        <w:t>м</w:t>
      </w:r>
      <w:r>
        <w:rPr>
          <w:rFonts w:ascii="Calibri" w:hAnsi="Calibri" w:cs="Calibri"/>
          <w:spacing w:val="1"/>
        </w:rPr>
        <w:t>от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еле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-1"/>
        </w:rPr>
        <w:t>А</w:t>
      </w:r>
      <w:r>
        <w:rPr>
          <w:rFonts w:ascii="Calibri" w:hAnsi="Calibri" w:cs="Calibri"/>
        </w:rPr>
        <w:t>Д</w:t>
      </w:r>
      <w:r>
        <w:rPr>
          <w:rFonts w:ascii="Calibri" w:hAnsi="Calibri" w:cs="Calibri"/>
          <w:spacing w:val="14"/>
        </w:rPr>
        <w:t xml:space="preserve"> </w:t>
      </w:r>
      <w:r>
        <w:rPr>
          <w:rFonts w:ascii="Calibri" w:hAnsi="Calibri" w:cs="Calibri"/>
          <w:spacing w:val="1"/>
        </w:rPr>
        <w:t>1</w:t>
      </w:r>
      <w:r>
        <w:rPr>
          <w:rFonts w:ascii="Calibri" w:hAnsi="Calibri" w:cs="Calibri"/>
          <w:spacing w:val="-2"/>
        </w:rPr>
        <w:t>4</w:t>
      </w:r>
      <w:r>
        <w:rPr>
          <w:rFonts w:ascii="Calibri" w:hAnsi="Calibri" w:cs="Calibri"/>
          <w:spacing w:val="1"/>
        </w:rPr>
        <w:t>0</w:t>
      </w:r>
      <w:r>
        <w:rPr>
          <w:rFonts w:ascii="Calibri" w:hAnsi="Calibri" w:cs="Calibri"/>
        </w:rPr>
        <w:t>-</w:t>
      </w:r>
      <w:r>
        <w:rPr>
          <w:rFonts w:ascii="Calibri" w:hAnsi="Calibri" w:cs="Calibri"/>
          <w:spacing w:val="-2"/>
        </w:rPr>
        <w:t>15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ля</w:t>
      </w:r>
      <w:r>
        <w:rPr>
          <w:rFonts w:ascii="Calibri" w:hAnsi="Calibri" w:cs="Calibri"/>
          <w:spacing w:val="16"/>
        </w:rPr>
        <w:t xml:space="preserve"> </w:t>
      </w:r>
      <w:r>
        <w:rPr>
          <w:rFonts w:ascii="Calibri" w:hAnsi="Calibri" w:cs="Calibri"/>
        </w:rPr>
        <w:t>пац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ен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17"/>
        </w:rPr>
        <w:t xml:space="preserve"> </w:t>
      </w:r>
      <w:r>
        <w:rPr>
          <w:rFonts w:ascii="Calibri" w:hAnsi="Calibri" w:cs="Calibri"/>
          <w:spacing w:val="-2"/>
        </w:rPr>
        <w:t>&gt;</w:t>
      </w:r>
      <w:r>
        <w:rPr>
          <w:rFonts w:ascii="Calibri" w:hAnsi="Calibri" w:cs="Calibri"/>
          <w:spacing w:val="1"/>
        </w:rPr>
        <w:t>8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6"/>
        </w:rPr>
        <w:t xml:space="preserve"> </w:t>
      </w:r>
      <w:r>
        <w:rPr>
          <w:rFonts w:ascii="Calibri" w:hAnsi="Calibri" w:cs="Calibri"/>
        </w:rPr>
        <w:t>л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5"/>
        </w:rPr>
        <w:t xml:space="preserve"> </w:t>
      </w:r>
      <w:r>
        <w:rPr>
          <w:rFonts w:ascii="Calibri" w:hAnsi="Calibri" w:cs="Calibri"/>
        </w:rPr>
        <w:t>в х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ро</w:t>
      </w:r>
      <w:r>
        <w:rPr>
          <w:rFonts w:ascii="Calibri" w:hAnsi="Calibri" w:cs="Calibri"/>
        </w:rPr>
        <w:t>шей</w:t>
      </w:r>
      <w:r>
        <w:rPr>
          <w:rFonts w:ascii="Calibri" w:hAnsi="Calibri" w:cs="Calibri"/>
          <w:spacing w:val="-1"/>
        </w:rPr>
        <w:t xml:space="preserve"> ф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2"/>
        </w:rPr>
        <w:t>з</w:t>
      </w:r>
      <w:r>
        <w:rPr>
          <w:rFonts w:ascii="Calibri" w:hAnsi="Calibri" w:cs="Calibri"/>
        </w:rPr>
        <w:t>иче</w:t>
      </w:r>
      <w:r>
        <w:rPr>
          <w:rFonts w:ascii="Calibri" w:hAnsi="Calibri" w:cs="Calibri"/>
          <w:spacing w:val="-2"/>
        </w:rPr>
        <w:t>с</w:t>
      </w:r>
      <w:r>
        <w:rPr>
          <w:rFonts w:ascii="Calibri" w:hAnsi="Calibri" w:cs="Calibri"/>
          <w:spacing w:val="1"/>
        </w:rPr>
        <w:t>к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й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ф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ме,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6</w:t>
      </w:r>
      <w:r>
        <w:rPr>
          <w:rFonts w:ascii="Calibri" w:hAnsi="Calibri" w:cs="Calibri"/>
          <w:spacing w:val="1"/>
        </w:rPr>
        <w:t>5</w:t>
      </w:r>
      <w:r>
        <w:rPr>
          <w:rFonts w:ascii="Calibri" w:hAnsi="Calibri" w:cs="Calibri"/>
        </w:rPr>
        <w:t>-</w:t>
      </w:r>
      <w:r>
        <w:rPr>
          <w:rFonts w:ascii="Calibri" w:hAnsi="Calibri" w:cs="Calibri"/>
          <w:spacing w:val="-2"/>
        </w:rPr>
        <w:t>7</w:t>
      </w:r>
      <w:r>
        <w:rPr>
          <w:rFonts w:ascii="Calibri" w:hAnsi="Calibri" w:cs="Calibri"/>
        </w:rPr>
        <w:t>9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л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шей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ф</w:t>
      </w:r>
      <w:r>
        <w:rPr>
          <w:rFonts w:ascii="Calibri" w:hAnsi="Calibri" w:cs="Calibri"/>
        </w:rPr>
        <w:t>изи</w:t>
      </w:r>
      <w:r>
        <w:rPr>
          <w:rFonts w:ascii="Calibri" w:hAnsi="Calibri" w:cs="Calibri"/>
          <w:spacing w:val="-3"/>
        </w:rPr>
        <w:t>ч</w:t>
      </w:r>
      <w:r>
        <w:rPr>
          <w:rFonts w:ascii="Calibri" w:hAnsi="Calibri" w:cs="Calibri"/>
        </w:rPr>
        <w:t>ес</w:t>
      </w:r>
      <w:r>
        <w:rPr>
          <w:rFonts w:ascii="Calibri" w:hAnsi="Calibri" w:cs="Calibri"/>
          <w:spacing w:val="-2"/>
        </w:rPr>
        <w:t>к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й</w:t>
      </w:r>
      <w:r>
        <w:rPr>
          <w:rFonts w:ascii="Calibri" w:hAnsi="Calibri" w:cs="Calibri"/>
          <w:spacing w:val="-1"/>
        </w:rPr>
        <w:t xml:space="preserve"> ф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ме.</w:t>
      </w:r>
    </w:p>
    <w:p w:rsidR="002C3465" w:rsidRDefault="002C3465" w:rsidP="002C3465">
      <w:pPr>
        <w:autoSpaceDE w:val="0"/>
        <w:autoSpaceDN w:val="0"/>
        <w:adjustRightInd w:val="0"/>
        <w:spacing w:before="57" w:after="0" w:line="240" w:lineRule="auto"/>
        <w:ind w:left="120" w:right="5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Цел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й</w:t>
      </w:r>
      <w:r>
        <w:rPr>
          <w:rFonts w:ascii="Calibri" w:hAnsi="Calibri" w:cs="Calibri"/>
          <w:spacing w:val="31"/>
        </w:rPr>
        <w:t xml:space="preserve"> </w:t>
      </w:r>
      <w:r>
        <w:rPr>
          <w:rFonts w:ascii="Calibri" w:hAnsi="Calibri" w:cs="Calibri"/>
        </w:rPr>
        <w:t>ве</w:t>
      </w:r>
      <w:r>
        <w:rPr>
          <w:rFonts w:ascii="Calibri" w:hAnsi="Calibri" w:cs="Calibri"/>
          <w:spacing w:val="-2"/>
        </w:rPr>
        <w:t>с</w:t>
      </w:r>
      <w:r>
        <w:rPr>
          <w:rFonts w:ascii="Calibri" w:hAnsi="Calibri" w:cs="Calibri"/>
        </w:rPr>
        <w:t>: и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еал</w:t>
      </w:r>
      <w:r>
        <w:rPr>
          <w:rFonts w:ascii="Calibri" w:hAnsi="Calibri" w:cs="Calibri"/>
          <w:spacing w:val="-1"/>
        </w:rPr>
        <w:t>ь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 xml:space="preserve">й вес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л</w:t>
      </w:r>
      <w:r>
        <w:rPr>
          <w:rFonts w:ascii="Calibri" w:hAnsi="Calibri" w:cs="Calibri"/>
          <w:spacing w:val="-3"/>
        </w:rPr>
        <w:t>ж</w:t>
      </w:r>
      <w:r>
        <w:rPr>
          <w:rFonts w:ascii="Calibri" w:hAnsi="Calibri" w:cs="Calibri"/>
        </w:rPr>
        <w:t>ен с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  <w:spacing w:val="1"/>
        </w:rPr>
        <w:t>от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ва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 xml:space="preserve">ь </w:t>
      </w:r>
      <w:r>
        <w:rPr>
          <w:rFonts w:ascii="Calibri" w:hAnsi="Calibri" w:cs="Calibri"/>
          <w:spacing w:val="-3"/>
        </w:rPr>
        <w:t>И</w:t>
      </w:r>
      <w:r>
        <w:rPr>
          <w:rFonts w:ascii="Calibri" w:hAnsi="Calibri" w:cs="Calibri"/>
          <w:spacing w:val="1"/>
        </w:rPr>
        <w:t>М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-2"/>
        </w:rPr>
        <w:t>&lt;</w:t>
      </w:r>
      <w:r>
        <w:rPr>
          <w:rFonts w:ascii="Calibri" w:hAnsi="Calibri" w:cs="Calibri"/>
        </w:rPr>
        <w:t>=</w:t>
      </w:r>
      <w:r>
        <w:rPr>
          <w:rFonts w:ascii="Calibri" w:hAnsi="Calibri" w:cs="Calibri"/>
          <w:spacing w:val="-2"/>
        </w:rPr>
        <w:t>2</w:t>
      </w:r>
      <w:r>
        <w:rPr>
          <w:rFonts w:ascii="Calibri" w:hAnsi="Calibri" w:cs="Calibri"/>
          <w:spacing w:val="1"/>
        </w:rPr>
        <w:t>5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10"/>
        </w:rPr>
        <w:t xml:space="preserve"> </w:t>
      </w:r>
      <w:r>
        <w:rPr>
          <w:rFonts w:ascii="Calibri" w:hAnsi="Calibri" w:cs="Calibri"/>
        </w:rPr>
        <w:t>О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на</w:t>
      </w:r>
      <w:r>
        <w:rPr>
          <w:rFonts w:ascii="Calibri" w:hAnsi="Calibri" w:cs="Calibri"/>
          <w:spacing w:val="1"/>
        </w:rPr>
        <w:t>ко</w:t>
      </w:r>
      <w:r>
        <w:rPr>
          <w:rFonts w:ascii="Calibri" w:hAnsi="Calibri" w:cs="Calibri"/>
        </w:rPr>
        <w:t xml:space="preserve"> в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ач и</w:t>
      </w:r>
      <w:r>
        <w:rPr>
          <w:rFonts w:ascii="Calibri" w:hAnsi="Calibri" w:cs="Calibri"/>
          <w:spacing w:val="31"/>
        </w:rPr>
        <w:t xml:space="preserve"> </w:t>
      </w:r>
      <w:r>
        <w:rPr>
          <w:rFonts w:ascii="Calibri" w:hAnsi="Calibri" w:cs="Calibri"/>
        </w:rPr>
        <w:t>п</w:t>
      </w:r>
      <w:r>
        <w:rPr>
          <w:rFonts w:ascii="Calibri" w:hAnsi="Calibri" w:cs="Calibri"/>
          <w:spacing w:val="-3"/>
        </w:rPr>
        <w:t>а</w:t>
      </w:r>
      <w:r>
        <w:rPr>
          <w:rFonts w:ascii="Calibri" w:hAnsi="Calibri" w:cs="Calibri"/>
        </w:rPr>
        <w:t>ц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т с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вм</w:t>
      </w:r>
      <w:r>
        <w:rPr>
          <w:rFonts w:ascii="Calibri" w:hAnsi="Calibri" w:cs="Calibri"/>
          <w:spacing w:val="-2"/>
        </w:rPr>
        <w:t>е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о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2"/>
        </w:rPr>
        <w:t>г</w:t>
      </w:r>
      <w:r>
        <w:rPr>
          <w:rFonts w:ascii="Calibri" w:hAnsi="Calibri" w:cs="Calibri"/>
          <w:spacing w:val="1"/>
        </w:rPr>
        <w:t>у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2"/>
        </w:rPr>
        <w:t>у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 xml:space="preserve">ь цель </w:t>
      </w:r>
      <w:r>
        <w:rPr>
          <w:rFonts w:ascii="Calibri" w:hAnsi="Calibri" w:cs="Calibri"/>
          <w:spacing w:val="-2"/>
        </w:rPr>
        <w:t>п</w:t>
      </w:r>
      <w:r>
        <w:rPr>
          <w:rFonts w:ascii="Calibri" w:hAnsi="Calibri" w:cs="Calibri"/>
        </w:rPr>
        <w:t>о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сни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ию веса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"/>
        </w:rPr>
        <w:t xml:space="preserve"> о</w:t>
      </w:r>
      <w:r>
        <w:rPr>
          <w:rFonts w:ascii="Calibri" w:hAnsi="Calibri" w:cs="Calibri"/>
          <w:spacing w:val="-2"/>
        </w:rPr>
        <w:t>п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им</w:t>
      </w:r>
      <w:r>
        <w:rPr>
          <w:rFonts w:ascii="Calibri" w:hAnsi="Calibri" w:cs="Calibri"/>
          <w:spacing w:val="-3"/>
        </w:rPr>
        <w:t>а</w:t>
      </w:r>
      <w:r>
        <w:rPr>
          <w:rFonts w:ascii="Calibri" w:hAnsi="Calibri" w:cs="Calibri"/>
        </w:rPr>
        <w:t>л</w:t>
      </w:r>
      <w:r>
        <w:rPr>
          <w:rFonts w:ascii="Calibri" w:hAnsi="Calibri" w:cs="Calibri"/>
          <w:spacing w:val="-1"/>
        </w:rPr>
        <w:t>ь</w:t>
      </w:r>
      <w:r>
        <w:rPr>
          <w:rFonts w:ascii="Calibri" w:hAnsi="Calibri" w:cs="Calibri"/>
        </w:rPr>
        <w:t>ные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-1"/>
        </w:rPr>
        <w:t>ро</w:t>
      </w:r>
      <w:r>
        <w:rPr>
          <w:rFonts w:ascii="Calibri" w:hAnsi="Calibri" w:cs="Calibri"/>
          <w:spacing w:val="-2"/>
        </w:rPr>
        <w:t>к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</w:rPr>
        <w:t>ля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ее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2"/>
        </w:rPr>
        <w:t>с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>я</w:t>
      </w:r>
      <w:r>
        <w:rPr>
          <w:rFonts w:ascii="Calibri" w:hAnsi="Calibri" w:cs="Calibri"/>
        </w:rPr>
        <w:t xml:space="preserve">;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</w:rPr>
        <w:t>ен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3"/>
        </w:rPr>
        <w:t>И</w:t>
      </w:r>
      <w:r>
        <w:rPr>
          <w:rFonts w:ascii="Calibri" w:hAnsi="Calibri" w:cs="Calibri"/>
          <w:spacing w:val="1"/>
        </w:rPr>
        <w:t>М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ав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2"/>
        </w:rPr>
        <w:t>г</w:t>
      </w:r>
      <w:r>
        <w:rPr>
          <w:rFonts w:ascii="Calibri" w:hAnsi="Calibri" w:cs="Calibri"/>
        </w:rPr>
        <w:t>о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2"/>
        </w:rPr>
        <w:t>2</w:t>
      </w:r>
      <w:r>
        <w:rPr>
          <w:rFonts w:ascii="Calibri" w:hAnsi="Calibri" w:cs="Calibri"/>
        </w:rPr>
        <w:t>5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3"/>
        </w:rPr>
        <w:t>ж</w:t>
      </w:r>
      <w:r>
        <w:rPr>
          <w:rFonts w:ascii="Calibri" w:hAnsi="Calibri" w:cs="Calibri"/>
        </w:rPr>
        <w:t>ет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б</w:t>
      </w:r>
      <w:r>
        <w:rPr>
          <w:rFonts w:ascii="Calibri" w:hAnsi="Calibri" w:cs="Calibri"/>
          <w:spacing w:val="-3"/>
        </w:rPr>
        <w:t>ы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ь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-2"/>
        </w:rPr>
        <w:t>л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ж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не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зм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жны</w:t>
      </w:r>
      <w:r>
        <w:rPr>
          <w:rFonts w:ascii="Calibri" w:hAnsi="Calibri" w:cs="Calibri"/>
        </w:rPr>
        <w:t>м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-2"/>
        </w:rPr>
        <w:t>л</w:t>
      </w:r>
      <w:r>
        <w:rPr>
          <w:rFonts w:ascii="Calibri" w:hAnsi="Calibri" w:cs="Calibri"/>
        </w:rPr>
        <w:t>я не</w:t>
      </w:r>
      <w:r>
        <w:rPr>
          <w:rFonts w:ascii="Calibri" w:hAnsi="Calibri" w:cs="Calibri"/>
          <w:spacing w:val="-2"/>
        </w:rPr>
        <w:t>к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1"/>
        </w:rPr>
        <w:t>ры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па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ие</w:t>
      </w:r>
      <w:r>
        <w:rPr>
          <w:rFonts w:ascii="Calibri" w:hAnsi="Calibri" w:cs="Calibri"/>
          <w:spacing w:val="-3"/>
        </w:rPr>
        <w:t>н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в. Сле</w:t>
      </w:r>
      <w:r>
        <w:rPr>
          <w:rFonts w:ascii="Calibri" w:hAnsi="Calibri" w:cs="Calibri"/>
          <w:spacing w:val="-1"/>
        </w:rPr>
        <w:t>д</w:t>
      </w:r>
      <w:r>
        <w:rPr>
          <w:rFonts w:ascii="Calibri" w:hAnsi="Calibri" w:cs="Calibri"/>
          <w:spacing w:val="1"/>
        </w:rPr>
        <w:t>у</w:t>
      </w:r>
      <w:r>
        <w:rPr>
          <w:rFonts w:ascii="Calibri" w:hAnsi="Calibri" w:cs="Calibri"/>
          <w:spacing w:val="-1"/>
        </w:rPr>
        <w:t>ю</w:t>
      </w:r>
      <w:r>
        <w:rPr>
          <w:rFonts w:ascii="Calibri" w:hAnsi="Calibri" w:cs="Calibri"/>
          <w:spacing w:val="-2"/>
        </w:rPr>
        <w:t>щ</w:t>
      </w:r>
      <w:r>
        <w:rPr>
          <w:rFonts w:ascii="Calibri" w:hAnsi="Calibri" w:cs="Calibri"/>
        </w:rPr>
        <w:t>ий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г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>а</w:t>
      </w:r>
      <w:r>
        <w:rPr>
          <w:rFonts w:ascii="Calibri" w:hAnsi="Calibri" w:cs="Calibri"/>
          <w:spacing w:val="-1"/>
        </w:rPr>
        <w:t>ф</w:t>
      </w:r>
      <w:r>
        <w:rPr>
          <w:rFonts w:ascii="Calibri" w:hAnsi="Calibri" w:cs="Calibri"/>
        </w:rPr>
        <w:t>ик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п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з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л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</w:rPr>
        <w:t>в</w:t>
      </w:r>
      <w:r>
        <w:rPr>
          <w:rFonts w:ascii="Calibri" w:hAnsi="Calibri" w:cs="Calibri"/>
          <w:spacing w:val="-1"/>
        </w:rPr>
        <w:t>р</w:t>
      </w:r>
      <w:r>
        <w:rPr>
          <w:rFonts w:ascii="Calibri" w:hAnsi="Calibri" w:cs="Calibri"/>
        </w:rPr>
        <w:t xml:space="preserve">ачам 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2"/>
        </w:rPr>
        <w:t>ц</w:t>
      </w:r>
      <w:r>
        <w:rPr>
          <w:rFonts w:ascii="Calibri" w:hAnsi="Calibri" w:cs="Calibri"/>
        </w:rPr>
        <w:t>ен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  <w:spacing w:val="1"/>
        </w:rPr>
        <w:t>т</w:t>
      </w:r>
      <w:r>
        <w:rPr>
          <w:rFonts w:ascii="Calibri" w:hAnsi="Calibri" w:cs="Calibri"/>
        </w:rPr>
        <w:t>ь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2"/>
        </w:rPr>
        <w:t>те</w:t>
      </w:r>
      <w:r>
        <w:rPr>
          <w:rFonts w:ascii="Calibri" w:hAnsi="Calibri" w:cs="Calibri"/>
          <w:spacing w:val="1"/>
        </w:rPr>
        <w:t>ку</w:t>
      </w:r>
      <w:r>
        <w:rPr>
          <w:rFonts w:ascii="Calibri" w:hAnsi="Calibri" w:cs="Calibri"/>
          <w:spacing w:val="-2"/>
        </w:rPr>
        <w:t>щ</w:t>
      </w:r>
      <w:r>
        <w:rPr>
          <w:rFonts w:ascii="Calibri" w:hAnsi="Calibri" w:cs="Calibri"/>
        </w:rPr>
        <w:t>ий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"/>
        </w:rPr>
        <w:t>М</w:t>
      </w:r>
      <w:r>
        <w:rPr>
          <w:rFonts w:ascii="Calibri" w:hAnsi="Calibri" w:cs="Calibri"/>
        </w:rPr>
        <w:t>Т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на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1"/>
        </w:rPr>
        <w:t>о</w:t>
      </w:r>
      <w:r>
        <w:rPr>
          <w:rFonts w:ascii="Calibri" w:hAnsi="Calibri" w:cs="Calibri"/>
        </w:rPr>
        <w:t>сн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  <w:spacing w:val="-3"/>
        </w:rPr>
        <w:t>в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д</w:t>
      </w:r>
      <w:r>
        <w:rPr>
          <w:rFonts w:ascii="Calibri" w:hAnsi="Calibri" w:cs="Calibri"/>
        </w:rPr>
        <w:t>анн</w:t>
      </w:r>
      <w:r>
        <w:rPr>
          <w:rFonts w:ascii="Calibri" w:hAnsi="Calibri" w:cs="Calibri"/>
          <w:spacing w:val="-1"/>
        </w:rPr>
        <w:t>ы</w:t>
      </w:r>
      <w:r>
        <w:rPr>
          <w:rFonts w:ascii="Calibri" w:hAnsi="Calibri" w:cs="Calibri"/>
        </w:rPr>
        <w:t>х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о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  <w:spacing w:val="-3"/>
        </w:rPr>
        <w:t>р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с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</w:rPr>
        <w:t>е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и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ве</w:t>
      </w:r>
      <w:r>
        <w:rPr>
          <w:rFonts w:ascii="Calibri" w:hAnsi="Calibri" w:cs="Calibri"/>
          <w:spacing w:val="-2"/>
        </w:rPr>
        <w:t>с</w:t>
      </w:r>
      <w:r>
        <w:rPr>
          <w:rFonts w:ascii="Calibri" w:hAnsi="Calibri" w:cs="Calibri"/>
        </w:rPr>
        <w:t>е пац</w:t>
      </w:r>
      <w:r>
        <w:rPr>
          <w:rFonts w:ascii="Calibri" w:hAnsi="Calibri" w:cs="Calibri"/>
          <w:spacing w:val="-2"/>
        </w:rPr>
        <w:t>и</w:t>
      </w:r>
      <w:r>
        <w:rPr>
          <w:rFonts w:ascii="Calibri" w:hAnsi="Calibri" w:cs="Calibri"/>
        </w:rPr>
        <w:t>ен</w:t>
      </w:r>
      <w:r>
        <w:rPr>
          <w:rFonts w:ascii="Calibri" w:hAnsi="Calibri" w:cs="Calibri"/>
          <w:spacing w:val="-2"/>
        </w:rPr>
        <w:t>т</w:t>
      </w:r>
      <w:r>
        <w:rPr>
          <w:rFonts w:ascii="Calibri" w:hAnsi="Calibri" w:cs="Calibri"/>
          <w:spacing w:val="1"/>
        </w:rPr>
        <w:t>о</w:t>
      </w:r>
      <w:r>
        <w:rPr>
          <w:rFonts w:ascii="Calibri" w:hAnsi="Calibri" w:cs="Calibri"/>
        </w:rPr>
        <w:t>в.</w:t>
      </w:r>
    </w:p>
    <w:p w:rsidR="002C3465" w:rsidRDefault="002C3465" w:rsidP="002C346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Целевой вес:  вес, соответствующий ИМТ &lt;= 25. </w:t>
      </w:r>
    </w:p>
    <w:tbl>
      <w:tblPr>
        <w:tblW w:w="0" w:type="auto"/>
        <w:tblInd w:w="108" w:type="dxa"/>
        <w:tblLayout w:type="fixed"/>
        <w:tblLook w:val="0000"/>
      </w:tblPr>
      <w:tblGrid>
        <w:gridCol w:w="93"/>
        <w:gridCol w:w="1149"/>
        <w:gridCol w:w="142"/>
        <w:gridCol w:w="550"/>
        <w:gridCol w:w="868"/>
        <w:gridCol w:w="425"/>
        <w:gridCol w:w="567"/>
        <w:gridCol w:w="850"/>
        <w:gridCol w:w="993"/>
        <w:gridCol w:w="850"/>
        <w:gridCol w:w="1134"/>
        <w:gridCol w:w="851"/>
        <w:gridCol w:w="850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vAlign w:val="center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Высота (см)</w:t>
            </w:r>
          </w:p>
        </w:tc>
        <w:tc>
          <w:tcPr>
            <w:tcW w:w="8080" w:type="dxa"/>
            <w:gridSpan w:val="11"/>
            <w:tcBorders>
              <w:top w:val="single" w:sz="6" w:space="0" w:color="000000"/>
              <w:left w:val="nil"/>
              <w:bottom w:val="single" w:sz="3" w:space="0" w:color="000000"/>
              <w:right w:val="single" w:sz="6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Вес (кг)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4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C3465" w:rsidRDefault="002C3465">
            <w:pPr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55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90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31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36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40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155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27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31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33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35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37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25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31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35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165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26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EB9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31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33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19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0006"/>
                <w:sz w:val="18"/>
                <w:szCs w:val="18"/>
                <w:lang w:val="en-US"/>
              </w:rPr>
              <w:t>31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175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26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28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29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25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26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28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185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19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auto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9C6500"/>
                <w:sz w:val="18"/>
                <w:szCs w:val="18"/>
                <w:lang w:val="en-US"/>
              </w:rPr>
              <w:t>26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18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25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195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24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24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200</w:t>
            </w:r>
          </w:p>
        </w:tc>
        <w:tc>
          <w:tcPr>
            <w:tcW w:w="6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86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99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C6EFCE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6100"/>
                <w:sz w:val="18"/>
                <w:szCs w:val="18"/>
                <w:lang w:val="en-US"/>
              </w:rPr>
              <w:t>23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gridBefore w:val="1"/>
          <w:gridAfter w:val="7"/>
          <w:wBefore w:w="93" w:type="dxa"/>
          <w:wAfter w:w="6095" w:type="dxa"/>
          <w:trHeight w:val="280"/>
        </w:trPr>
        <w:tc>
          <w:tcPr>
            <w:tcW w:w="313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Маркировка ИМТ 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gridBefore w:val="1"/>
          <w:gridAfter w:val="7"/>
          <w:wBefore w:w="93" w:type="dxa"/>
          <w:wAfter w:w="6095" w:type="dxa"/>
          <w:trHeight w:val="280"/>
        </w:trPr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99CC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&gt;30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color w:val="222222"/>
                <w:sz w:val="20"/>
                <w:szCs w:val="20"/>
              </w:rPr>
              <w:t>Ожирение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gridBefore w:val="1"/>
          <w:gridAfter w:val="7"/>
          <w:wBefore w:w="93" w:type="dxa"/>
          <w:wAfter w:w="6095" w:type="dxa"/>
          <w:trHeight w:val="280"/>
        </w:trPr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E699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25-29.99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color w:val="222222"/>
                <w:sz w:val="20"/>
                <w:szCs w:val="20"/>
              </w:rPr>
              <w:t>Избыточный вес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gridBefore w:val="1"/>
          <w:gridAfter w:val="7"/>
          <w:wBefore w:w="93" w:type="dxa"/>
          <w:wAfter w:w="6095" w:type="dxa"/>
          <w:trHeight w:val="280"/>
        </w:trPr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18-24.99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color w:val="222222"/>
                <w:sz w:val="20"/>
                <w:szCs w:val="20"/>
              </w:rPr>
              <w:t>Идеальный вес</w:t>
            </w:r>
          </w:p>
        </w:tc>
      </w:tr>
      <w:tr w:rsidR="002C3465">
        <w:tblPrEx>
          <w:tblCellMar>
            <w:top w:w="0" w:type="dxa"/>
            <w:bottom w:w="0" w:type="dxa"/>
          </w:tblCellMar>
        </w:tblPrEx>
        <w:trPr>
          <w:gridBefore w:val="1"/>
          <w:gridAfter w:val="7"/>
          <w:wBefore w:w="93" w:type="dxa"/>
          <w:wAfter w:w="6095" w:type="dxa"/>
          <w:trHeight w:val="280"/>
        </w:trPr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&lt;18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Arial CYR" w:hAnsi="Arial CYR" w:cs="Arial CYR"/>
                <w:color w:val="222222"/>
                <w:sz w:val="20"/>
                <w:szCs w:val="20"/>
              </w:rPr>
              <w:t>Недовес</w:t>
            </w: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8" w:after="0" w:line="240" w:lineRule="auto"/>
        <w:rPr>
          <w:rFonts w:ascii="Calibri" w:hAnsi="Calibri" w:cs="Calibri"/>
          <w:sz w:val="24"/>
          <w:szCs w:val="24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Индивидуальный план ухода (часть 4) – Исходные показатели</w:t>
      </w:r>
      <w:r>
        <w:rPr>
          <w:rFonts w:ascii="Calibri" w:hAnsi="Calibri" w:cs="Calibri"/>
        </w:rPr>
        <w:t xml:space="preserve"> </w:t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Диета: придерживайтесь хорошо-сбалансированного рациона</w:t>
      </w:r>
      <w:r>
        <w:rPr>
          <w:rFonts w:ascii="Calibri" w:hAnsi="Calibri" w:cs="Calibri"/>
          <w:color w:val="111111"/>
        </w:rPr>
        <w:t>.</w:t>
      </w:r>
      <w:r>
        <w:rPr>
          <w:rFonts w:ascii="Calibri" w:hAnsi="Calibri" w:cs="Calibri"/>
          <w:b/>
          <w:bCs/>
          <w:vertAlign w:val="superscript"/>
        </w:rPr>
        <w:t>2</w:t>
      </w:r>
      <w:r>
        <w:rPr>
          <w:rFonts w:ascii="Calibri" w:hAnsi="Calibri" w:cs="Calibri"/>
          <w:color w:val="111111"/>
        </w:rPr>
        <w:t xml:space="preserve"> </w:t>
      </w:r>
      <w:r>
        <w:rPr>
          <w:rFonts w:ascii="Calibri" w:hAnsi="Calibri" w:cs="Calibri"/>
        </w:rPr>
        <w:t>Гипотензивная диета: сделайте акцент на фруктах, овощах, молочных продуктах с низким процентом жирности, белках, цельнозерновых продуктах, с низким содержанием жира и холестерина.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Прием соли: ≤ 5-6 граммов соли ежедневно.</w:t>
      </w:r>
      <w:r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 Рассмотрите практические предложения (например, не употребляйте соль).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Употребление алкоголя: Руководства ЕОК рекомендуют 20-30 г. алкоголя/день или 140/неделю для мужчин, а 10-20 г. и 80 мл/неделю для женщин. Это соответствует 2-3 стандартным напиткам в день для мужчин и 1-2 напитка в день для женщин. Стандартный напиток составляет 50 мл</w:t>
      </w:r>
      <w:r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</w:rPr>
        <w:t>спиртного напитка, 100 мл вина или 355 мл пива.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Калий, кальций, магний: Дополнительное употребление не рекомендуется.</w:t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План физических нагрузок: Руководства ЕОК рекомендуют 30 и более минут умеренных динамических упражнений 5-7 дней в неделю.</w:t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Курение: целью является полный отказ от курения; рассмотрите заместительную терапию никотином или лекарственными препаратами.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262626"/>
        </w:rPr>
      </w:pPr>
      <w:r>
        <w:rPr>
          <w:rFonts w:ascii="Calibri" w:hAnsi="Calibri" w:cs="Calibri"/>
        </w:rPr>
        <w:t xml:space="preserve">Последующее наблюдение и приемы: </w:t>
      </w:r>
      <w:r>
        <w:rPr>
          <w:rFonts w:ascii="Calibri" w:hAnsi="Calibri" w:cs="Calibri"/>
          <w:color w:val="262626"/>
        </w:rPr>
        <w:t>При корректировке дозы препарата, необходимо проводить мониторинг АД каждые 2-4 недели. При стабилизации, АД нужно измерять и проводить пересмотр препаратов каждые 3-6 месяцев. Уровень содержания липидов следует проверять, по крайней мере, 1 раз в год. Сывороточный калий и креатинин должны проверяться как минимум дважды в год.</w:t>
      </w:r>
      <w:r>
        <w:rPr>
          <w:rFonts w:ascii="Calibri" w:hAnsi="Calibri" w:cs="Calibri"/>
          <w:color w:val="262626"/>
          <w:vertAlign w:val="superscript"/>
        </w:rPr>
        <w:t>6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262626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after="0" w:line="270" w:lineRule="atLeast"/>
        <w:ind w:right="335"/>
        <w:jc w:val="both"/>
        <w:rPr>
          <w:rFonts w:ascii="Calibri" w:hAnsi="Calibri" w:cs="Calibri"/>
          <w:position w:val="10"/>
          <w:sz w:val="20"/>
          <w:szCs w:val="20"/>
        </w:rPr>
      </w:pPr>
      <w:r>
        <w:rPr>
          <w:rFonts w:ascii="Calibri" w:hAnsi="Calibri" w:cs="Calibri"/>
          <w:color w:val="212121"/>
          <w:position w:val="10"/>
          <w:sz w:val="20"/>
          <w:szCs w:val="20"/>
        </w:rPr>
        <w:t>Источник: подготовлено консультантами CSIH</w:t>
      </w:r>
    </w:p>
    <w:p w:rsidR="002C3465" w:rsidRDefault="002C3465" w:rsidP="002C3465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262626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  <w:b/>
          <w:bCs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:rsidR="002C3465" w:rsidRDefault="002C3465" w:rsidP="002C3465">
      <w:pPr>
        <w:autoSpaceDE w:val="0"/>
        <w:autoSpaceDN w:val="0"/>
        <w:adjustRightInd w:val="0"/>
        <w:spacing w:before="100" w:after="10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Ожидание:</w:t>
      </w:r>
      <w:r>
        <w:rPr>
          <w:rFonts w:ascii="Calibri" w:hAnsi="Calibri" w:cs="Calibri"/>
        </w:rPr>
        <w:t xml:space="preserve"> Поликлиника несет ответственность за разработку индивидуального плана клинического лечения для каждого отдельного пациента, а также за его обновление как минимум один раз в год. Врачам рекомендовано обновлять план по мере необходимости. Копию плана следует хранить в карточке пациента для проведения аудита.</w:t>
      </w: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20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-US"/>
        </w:rPr>
        <w:t xml:space="preserve">5.3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Шаблон краткого плана действий</w:t>
      </w: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Рекомендовано всем пациентам с гипертензией предлагать дополнительную поддержку самоменеджмента, если они не уверены в управлении своим клиническим состоянием или они не могут достичь целей лечения. Необходимо проводить оценку готовности пациента и его заинтересованности в поддержке самоменеджмента на каждом последующем приеме. Пациенты, которые могут получить пользу от данного процесса и осознающие свою готовность к нему, должны закрепиться за медицинским работником, обучающим поддержке самоменеджмента. Данный медицинский работник регулярно встречается с пациентом, чтобы помочь ему разработать краткие планы действий, демонстрирующие конкретные улучшения образа жизни так, чтобы пациент захотел осуществить их в ближайшем будущем. Следующий образец можно использовать для направления пациента в разработке каждого краткого плана действий.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br w:type="page"/>
      </w:r>
    </w:p>
    <w:tbl>
      <w:tblPr>
        <w:tblW w:w="0" w:type="auto"/>
        <w:tblInd w:w="108" w:type="dxa"/>
        <w:tblLayout w:type="fixed"/>
        <w:tblLook w:val="0000"/>
      </w:tblPr>
      <w:tblGrid>
        <w:gridCol w:w="9747"/>
      </w:tblGrid>
      <w:tr w:rsidR="002C3465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7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3465" w:rsidRDefault="002C3465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Таблица 18:  Образец краткого плана действий                         Сегодняшняя дата: _____________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Моя цель по улучшению здоровья: </w:t>
            </w:r>
            <w:r>
              <w:rPr>
                <w:rFonts w:ascii="Calibri" w:hAnsi="Calibri" w:cs="Calibri"/>
              </w:rPr>
              <w:t>_________________________________________________________________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1) </w:t>
            </w:r>
            <w:r>
              <w:rPr>
                <w:rFonts w:ascii="Calibri" w:hAnsi="Calibri" w:cs="Calibri"/>
                <w:b/>
                <w:bCs/>
              </w:rPr>
              <w:t>Сделать план действий: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Есть что-либо, что вы хотели бы сделать для улучшения вашего состояния в ближайшие неделю-две? Если вы ничего не хотите делать для вашего здоровья и самочувствия сейчас, то возможно вы захотите подумать над этим в будущем. Если да, заполните следующие детали. Некоторые из них можно не заполнять. Постарайтесь быть предельно точны.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3028"/>
              <w:gridCol w:w="3380"/>
              <w:gridCol w:w="2619"/>
            </w:tblGrid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673"/>
              </w:trPr>
              <w:tc>
                <w:tcPr>
                  <w:tcW w:w="3028" w:type="dxa"/>
                  <w:tcBorders>
                    <w:top w:val="single" w:sz="28" w:space="0" w:color="000000"/>
                    <w:left w:val="single" w:sz="28" w:space="0" w:color="000000"/>
                    <w:bottom w:val="single" w:sz="28" w:space="0" w:color="000000"/>
                    <w:right w:val="single" w:sz="28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Мой план действий</w:t>
                  </w:r>
                </w:p>
              </w:tc>
              <w:tc>
                <w:tcPr>
                  <w:tcW w:w="3380" w:type="dxa"/>
                  <w:tcBorders>
                    <w:top w:val="single" w:sz="28" w:space="0" w:color="000000"/>
                    <w:left w:val="single" w:sz="28" w:space="0" w:color="000000"/>
                    <w:bottom w:val="single" w:sz="28" w:space="0" w:color="000000"/>
                    <w:right w:val="single" w:sz="28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200" w:after="0" w:line="240" w:lineRule="auto"/>
                    <w:ind w:left="284" w:right="43" w:hanging="284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Мои ответы</w:t>
                  </w:r>
                </w:p>
              </w:tc>
              <w:tc>
                <w:tcPr>
                  <w:tcW w:w="2619" w:type="dxa"/>
                  <w:tcBorders>
                    <w:top w:val="single" w:sz="28" w:space="0" w:color="000000"/>
                    <w:left w:val="single" w:sz="28" w:space="0" w:color="000000"/>
                    <w:bottom w:val="single" w:sz="28" w:space="0" w:color="000000"/>
                    <w:right w:val="single" w:sz="28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Комментарии</w:t>
                  </w: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432"/>
              </w:trPr>
              <w:tc>
                <w:tcPr>
                  <w:tcW w:w="3028" w:type="dxa"/>
                  <w:tcBorders>
                    <w:top w:val="single" w:sz="28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Что бы вы хотели сделать?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3380" w:type="dxa"/>
                  <w:tcBorders>
                    <w:top w:val="single" w:sz="28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:rsidR="002C3465" w:rsidRDefault="002C3465">
                  <w:pPr>
                    <w:keepNext/>
                    <w:keepLines/>
                    <w:autoSpaceDE w:val="0"/>
                    <w:autoSpaceDN w:val="0"/>
                    <w:adjustRightInd w:val="0"/>
                    <w:spacing w:before="200"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2619" w:type="dxa"/>
                  <w:tcBorders>
                    <w:top w:val="single" w:sz="28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310"/>
              </w:trPr>
              <w:tc>
                <w:tcPr>
                  <w:tcW w:w="30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Где?</w:t>
                  </w:r>
                </w:p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33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26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1165"/>
              </w:trPr>
              <w:tc>
                <w:tcPr>
                  <w:tcW w:w="30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Когда и как часто? </w:t>
                  </w:r>
                  <w:r>
                    <w:rPr>
                      <w:rFonts w:ascii="Calibri" w:hAnsi="Calibri" w:cs="Calibri"/>
                    </w:rPr>
                    <w:t>(В какое время суток вы будете это делать? Если это произойдет более одного раза, то как часто это будет происходить)</w:t>
                  </w:r>
                </w:p>
              </w:tc>
              <w:tc>
                <w:tcPr>
                  <w:tcW w:w="33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26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529"/>
              </w:trPr>
              <w:tc>
                <w:tcPr>
                  <w:tcW w:w="30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Как долго или как много?</w:t>
                  </w:r>
                  <w:r>
                    <w:rPr>
                      <w:rFonts w:ascii="Calibri" w:hAnsi="Calibri" w:cs="Calibri"/>
                    </w:rPr>
                    <w:t xml:space="preserve"> (минуты, порции, и т.д.)</w:t>
                  </w:r>
                </w:p>
              </w:tc>
              <w:tc>
                <w:tcPr>
                  <w:tcW w:w="33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26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  <w:tr w:rsidR="002C3465">
              <w:tblPrEx>
                <w:tblCellMar>
                  <w:top w:w="0" w:type="dxa"/>
                  <w:bottom w:w="0" w:type="dxa"/>
                </w:tblCellMar>
              </w:tblPrEx>
              <w:trPr>
                <w:trHeight w:val="430"/>
              </w:trPr>
              <w:tc>
                <w:tcPr>
                  <w:tcW w:w="30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 xml:space="preserve">Когда вы начнете? </w:t>
                  </w:r>
                </w:p>
              </w:tc>
              <w:tc>
                <w:tcPr>
                  <w:tcW w:w="33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26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  <w:vAlign w:val="center"/>
                </w:tcPr>
                <w:p w:rsidR="002C3465" w:rsidRDefault="002C346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284" w:right="43" w:hanging="284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</w:tbl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2) </w:t>
            </w:r>
            <w:r>
              <w:rPr>
                <w:rFonts w:ascii="Calibri" w:hAnsi="Calibri" w:cs="Calibri"/>
                <w:b/>
                <w:bCs/>
              </w:rPr>
              <w:t>Просмотрите свой план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120" w:line="240" w:lineRule="auto"/>
              <w:ind w:left="284" w:right="45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  <w:r>
              <w:rPr>
                <w:rFonts w:ascii="Calibri" w:hAnsi="Calibri" w:cs="Calibri"/>
              </w:rPr>
              <w:t>а) Насколько вы уверены в том, что сможете выполнить свой план?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5" w:hanging="28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Совсем                                                                                                                                                          Полностью                    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5" w:hanging="28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не уверен     </w:t>
            </w:r>
            <w:r>
              <w:rPr>
                <w:rFonts w:ascii="Calibri" w:hAnsi="Calibri" w:cs="Calibri"/>
                <w:sz w:val="24"/>
                <w:szCs w:val="24"/>
              </w:rPr>
              <w:t>0         1         2         3         4         5         6         7         8         9         10</w:t>
            </w:r>
            <w:r>
              <w:rPr>
                <w:rFonts w:ascii="Calibri" w:hAnsi="Calibri" w:cs="Calibri"/>
              </w:rPr>
              <w:t xml:space="preserve">                      уверен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*</w:t>
            </w:r>
            <w:r>
              <w:rPr>
                <w:rFonts w:ascii="Calibri" w:hAnsi="Calibri" w:cs="Calibri"/>
                <w:b/>
                <w:bCs/>
              </w:rPr>
              <w:t>Примечание</w:t>
            </w:r>
            <w:r>
              <w:rPr>
                <w:rFonts w:ascii="Calibri" w:hAnsi="Calibri" w:cs="Calibri"/>
              </w:rPr>
              <w:t>: Если вы выберете 6 или ниже, перейдите к вопросу 2б. Если вы выберет 7 и выше, перейдите к вопросу 3.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en-US"/>
              </w:rPr>
              <w:t>2</w:t>
            </w:r>
            <w:r>
              <w:rPr>
                <w:rFonts w:ascii="Calibri" w:hAnsi="Calibri" w:cs="Calibri"/>
              </w:rPr>
              <w:t xml:space="preserve">б) Как бы вы могли изменить свой план, чтобы увеличить ваш уровень уверенности до 7 и выше? 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240" w:after="0" w:line="240" w:lineRule="auto"/>
              <w:ind w:left="288" w:right="43" w:hanging="288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____________________________________________________________________________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lang w:val="en-US"/>
              </w:rPr>
            </w:pP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6228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3) </w:t>
            </w:r>
            <w:r>
              <w:rPr>
                <w:rFonts w:ascii="Calibri" w:hAnsi="Calibri" w:cs="Calibri"/>
                <w:b/>
                <w:bCs/>
              </w:rPr>
              <w:t>Проверьте, как у вас идут дела</w:t>
            </w:r>
            <w:r>
              <w:rPr>
                <w:rFonts w:ascii="Calibri" w:hAnsi="Calibri" w:cs="Calibri"/>
                <w:b/>
                <w:bCs/>
                <w:color w:val="4F622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4F6228"/>
              </w:rPr>
              <w:tab/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rPr>
                <w:rFonts w:ascii="Calibri" w:hAnsi="Calibri" w:cs="Calibri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color w:val="000000"/>
                <w:lang w:val="en-US"/>
              </w:rPr>
              <w:t>☐</w:t>
            </w:r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ab/>
            </w:r>
            <w:r>
              <w:rPr>
                <w:rFonts w:ascii="Calibri" w:hAnsi="Calibri" w:cs="Calibri"/>
                <w:color w:val="000000"/>
              </w:rPr>
              <w:t>Я сам проверю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rPr>
                <w:rFonts w:ascii="Calibri" w:hAnsi="Calibri" w:cs="Calibri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color w:val="000000"/>
                <w:lang w:val="en-US"/>
              </w:rPr>
              <w:t>☐</w:t>
            </w:r>
            <w:r>
              <w:rPr>
                <w:rFonts w:ascii="Calibri" w:hAnsi="Calibri" w:cs="Calibri"/>
                <w:color w:val="000000"/>
                <w:lang w:val="en-US"/>
              </w:rPr>
              <w:tab/>
            </w:r>
            <w:r>
              <w:rPr>
                <w:rFonts w:ascii="Calibri" w:hAnsi="Calibri" w:cs="Calibri"/>
              </w:rPr>
              <w:t>Я попрошу кого-нибудь помочь (члена семьи или медицинского работника)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ind w:left="284" w:right="43" w:hanging="284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lang w:val="en-US"/>
              </w:rPr>
              <w:t xml:space="preserve"> </w:t>
            </w:r>
            <w:r>
              <w:rPr>
                <w:rFonts w:ascii="Calibri" w:hAnsi="Calibri" w:cs="Calibri"/>
                <w:lang w:val="en-US"/>
              </w:rPr>
              <w:tab/>
            </w:r>
            <w:r>
              <w:rPr>
                <w:rFonts w:ascii="Calibri" w:hAnsi="Calibri" w:cs="Calibri"/>
              </w:rPr>
              <w:t xml:space="preserve">Кто этот человек? </w:t>
            </w:r>
            <w:r>
              <w:rPr>
                <w:rFonts w:ascii="Calibri" w:hAnsi="Calibri" w:cs="Calibri"/>
                <w:i/>
                <w:iCs/>
              </w:rPr>
              <w:t>_________________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before="60" w:after="0" w:line="240" w:lineRule="auto"/>
              <w:ind w:left="288" w:right="43" w:hanging="28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Как и когда вы хотели бы проверяться (например, в определенный день или неделю, по телефону или лично)________________________________________________________________________</w:t>
            </w:r>
          </w:p>
          <w:p w:rsidR="002C3465" w:rsidRDefault="002C346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2C3465" w:rsidRDefault="002C3465" w:rsidP="002C34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Источник: вопроизведено из материалов Центра сотрудничества, мотивации и инноваций Британской Колумбии, Канада 2015г. Авторские права 2015, CCMI.</w:t>
      </w:r>
      <w:r>
        <w:rPr>
          <w:rFonts w:ascii="Calibri" w:hAnsi="Calibri" w:cs="Calibri"/>
          <w:sz w:val="20"/>
          <w:szCs w:val="20"/>
          <w:lang w:val="en-US"/>
        </w:rPr>
        <w:t>   </w:t>
      </w:r>
      <w:r>
        <w:rPr>
          <w:rFonts w:ascii="Calibri" w:hAnsi="Calibri" w:cs="Calibri"/>
          <w:sz w:val="20"/>
          <w:szCs w:val="20"/>
        </w:rPr>
        <w:t xml:space="preserve">Перепечатано и переведено с разрешения Центра сотрудничества, мотивации и инноваций.  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Ожидание: </w:t>
      </w:r>
      <w:r>
        <w:rPr>
          <w:rFonts w:ascii="Calibri" w:hAnsi="Calibri" w:cs="Calibri"/>
        </w:rPr>
        <w:t xml:space="preserve">Рекомендовано, чтобы медицинские работники, обучающие поддержке самоменеджмента, которые предлагают данную услугу пациентам, использовали данную </w:t>
      </w:r>
      <w:r>
        <w:rPr>
          <w:rFonts w:ascii="Calibri" w:hAnsi="Calibri" w:cs="Calibri"/>
        </w:rPr>
        <w:lastRenderedPageBreak/>
        <w:t>стандартную форму для документирования кратких планов действий. Экземпляр-оригинал данного плана находится у пациента, а копия хранится в карточке. В целях проведения аудита, наличие нескольких кратких планов действий продемонстрирует, что поддержка самоменеджмента предоставлена соответствующим образом.</w:t>
      </w: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2C3465" w:rsidRDefault="002C3465" w:rsidP="002C3465">
      <w:pPr>
        <w:keepNext/>
        <w:keepLines/>
        <w:autoSpaceDE w:val="0"/>
        <w:autoSpaceDN w:val="0"/>
        <w:adjustRightInd w:val="0"/>
        <w:spacing w:before="480" w:after="0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Ссылки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505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20</w:t>
      </w: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lang w:val="en-US"/>
        </w:rPr>
        <w:t>3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P</w:t>
      </w:r>
      <w:r>
        <w:rPr>
          <w:rFonts w:ascii="Calibri" w:hAnsi="Calibri" w:cs="Calibri"/>
          <w:lang w:val="en-US"/>
        </w:rPr>
        <w:t>ra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lang w:val="en-US"/>
        </w:rPr>
        <w:t>tice</w:t>
      </w:r>
      <w:r>
        <w:rPr>
          <w:rFonts w:ascii="Calibri" w:hAnsi="Calibri" w:cs="Calibri"/>
          <w:spacing w:val="-1"/>
          <w:lang w:val="en-US"/>
        </w:rPr>
        <w:t xml:space="preserve"> gu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li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>me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ar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rial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3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 xml:space="preserve">n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an </w:t>
      </w:r>
      <w:r>
        <w:rPr>
          <w:rFonts w:ascii="Calibri" w:hAnsi="Calibri" w:cs="Calibri"/>
          <w:spacing w:val="-1"/>
          <w:lang w:val="en-US"/>
        </w:rPr>
        <w:t>So</w:t>
      </w:r>
      <w:r>
        <w:rPr>
          <w:rFonts w:ascii="Calibri" w:hAnsi="Calibri" w:cs="Calibri"/>
          <w:lang w:val="en-US"/>
        </w:rPr>
        <w:t>cie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 xml:space="preserve">f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3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n (E</w:t>
      </w:r>
      <w:r>
        <w:rPr>
          <w:rFonts w:ascii="Calibri" w:hAnsi="Calibri" w:cs="Calibri"/>
          <w:spacing w:val="-1"/>
          <w:lang w:val="en-US"/>
        </w:rPr>
        <w:t>SH</w:t>
      </w:r>
      <w:r>
        <w:rPr>
          <w:rFonts w:ascii="Calibri" w:hAnsi="Calibri" w:cs="Calibri"/>
          <w:lang w:val="en-US"/>
        </w:rPr>
        <w:t>)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d t</w:t>
      </w:r>
      <w:r>
        <w:rPr>
          <w:rFonts w:ascii="Calibri" w:hAnsi="Calibri" w:cs="Calibri"/>
          <w:spacing w:val="-3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3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an </w:t>
      </w:r>
      <w:r>
        <w:rPr>
          <w:rFonts w:ascii="Calibri" w:hAnsi="Calibri" w:cs="Calibri"/>
          <w:spacing w:val="-1"/>
          <w:lang w:val="en-US"/>
        </w:rPr>
        <w:t>So</w:t>
      </w:r>
      <w:r>
        <w:rPr>
          <w:rFonts w:ascii="Calibri" w:hAnsi="Calibri" w:cs="Calibri"/>
          <w:lang w:val="en-US"/>
        </w:rPr>
        <w:t>cie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 Car</w:t>
      </w:r>
      <w:r>
        <w:rPr>
          <w:rFonts w:ascii="Calibri" w:hAnsi="Calibri" w:cs="Calibri"/>
          <w:spacing w:val="-3"/>
          <w:lang w:val="en-US"/>
        </w:rPr>
        <w:t>d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3"/>
          <w:lang w:val="en-US"/>
        </w:rPr>
        <w:t>g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(E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lang w:val="en-US"/>
        </w:rPr>
        <w:t>):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spacing w:val="-3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/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Task</w:t>
      </w:r>
      <w:r>
        <w:rPr>
          <w:rFonts w:ascii="Calibri" w:hAnsi="Calibri" w:cs="Calibri"/>
          <w:spacing w:val="-4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rce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3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 xml:space="preserve">e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>me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 xml:space="preserve">f </w:t>
      </w:r>
      <w:r>
        <w:rPr>
          <w:rFonts w:ascii="Calibri" w:hAnsi="Calibri" w:cs="Calibri"/>
          <w:spacing w:val="-1"/>
          <w:lang w:val="en-US"/>
        </w:rPr>
        <w:t>A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rial </w:t>
      </w:r>
      <w:r>
        <w:rPr>
          <w:rFonts w:ascii="Calibri" w:hAnsi="Calibri" w:cs="Calibri"/>
          <w:spacing w:val="-3"/>
          <w:lang w:val="en-US"/>
        </w:rPr>
        <w:t>H</w:t>
      </w:r>
      <w:r>
        <w:rPr>
          <w:rFonts w:ascii="Calibri" w:hAnsi="Calibri" w:cs="Calibri"/>
          <w:spacing w:val="-1"/>
          <w:lang w:val="en-US"/>
        </w:rPr>
        <w:t>yp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3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 xml:space="preserve">. J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s.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2</w:t>
      </w:r>
      <w:r>
        <w:rPr>
          <w:rFonts w:ascii="Calibri" w:hAnsi="Calibri" w:cs="Calibri"/>
          <w:spacing w:val="-1"/>
          <w:lang w:val="en-US"/>
        </w:rPr>
        <w:t>0</w:t>
      </w: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lang w:val="en-US"/>
        </w:rPr>
        <w:t>3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lang w:val="en-US"/>
        </w:rPr>
        <w:t>Oc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;</w:t>
      </w:r>
      <w:r>
        <w:rPr>
          <w:rFonts w:ascii="Calibri" w:hAnsi="Calibri" w:cs="Calibri"/>
          <w:spacing w:val="-1"/>
          <w:lang w:val="en-US"/>
        </w:rPr>
        <w:t>3</w:t>
      </w: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lang w:val="en-US"/>
        </w:rPr>
        <w:t>(</w:t>
      </w:r>
      <w:r>
        <w:rPr>
          <w:rFonts w:ascii="Calibri" w:hAnsi="Calibri" w:cs="Calibri"/>
          <w:spacing w:val="-2"/>
          <w:lang w:val="en-US"/>
        </w:rPr>
        <w:t>1</w:t>
      </w:r>
      <w:r>
        <w:rPr>
          <w:rFonts w:ascii="Calibri" w:hAnsi="Calibri" w:cs="Calibri"/>
          <w:spacing w:val="1"/>
          <w:lang w:val="en-US"/>
        </w:rPr>
        <w:t>0</w:t>
      </w:r>
      <w:r>
        <w:rPr>
          <w:rFonts w:ascii="Calibri" w:hAnsi="Calibri" w:cs="Calibri"/>
          <w:spacing w:val="-2"/>
          <w:lang w:val="en-US"/>
        </w:rPr>
        <w:t>)</w:t>
      </w:r>
      <w:r>
        <w:rPr>
          <w:rFonts w:ascii="Calibri" w:hAnsi="Calibri" w:cs="Calibri"/>
          <w:spacing w:val="1"/>
          <w:lang w:val="en-US"/>
        </w:rPr>
        <w:t>:</w:t>
      </w:r>
      <w:r>
        <w:rPr>
          <w:rFonts w:ascii="Calibri" w:hAnsi="Calibri" w:cs="Calibri"/>
          <w:spacing w:val="-1"/>
          <w:lang w:val="en-US"/>
        </w:rPr>
        <w:t>1</w:t>
      </w:r>
      <w:r>
        <w:rPr>
          <w:rFonts w:ascii="Calibri" w:hAnsi="Calibri" w:cs="Calibri"/>
          <w:spacing w:val="1"/>
          <w:lang w:val="en-US"/>
        </w:rPr>
        <w:t>9</w:t>
      </w:r>
      <w:r>
        <w:rPr>
          <w:rFonts w:ascii="Calibri" w:hAnsi="Calibri" w:cs="Calibri"/>
          <w:spacing w:val="-1"/>
          <w:lang w:val="en-US"/>
        </w:rPr>
        <w:t>2</w:t>
      </w:r>
      <w:r>
        <w:rPr>
          <w:rFonts w:ascii="Calibri" w:hAnsi="Calibri" w:cs="Calibri"/>
          <w:spacing w:val="1"/>
          <w:lang w:val="en-US"/>
        </w:rPr>
        <w:t>5</w:t>
      </w:r>
      <w:r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spacing w:val="-2"/>
          <w:lang w:val="en-US"/>
        </w:rPr>
        <w:t>3</w:t>
      </w:r>
      <w:r>
        <w:rPr>
          <w:rFonts w:ascii="Calibri" w:hAnsi="Calibri" w:cs="Calibri"/>
          <w:spacing w:val="1"/>
          <w:lang w:val="en-US"/>
        </w:rPr>
        <w:t>8</w:t>
      </w:r>
      <w:r>
        <w:rPr>
          <w:rFonts w:ascii="Calibri" w:hAnsi="Calibri" w:cs="Calibri"/>
          <w:lang w:val="en-US"/>
        </w:rPr>
        <w:t>.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-2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lastRenderedPageBreak/>
        <w:t xml:space="preserve">2.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an </w:t>
      </w:r>
      <w:r>
        <w:rPr>
          <w:rFonts w:ascii="Calibri" w:hAnsi="Calibri" w:cs="Calibri"/>
          <w:spacing w:val="-3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ci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ty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 C</w:t>
      </w:r>
      <w:r>
        <w:rPr>
          <w:rFonts w:ascii="Calibri" w:hAnsi="Calibri" w:cs="Calibri"/>
          <w:spacing w:val="-3"/>
          <w:lang w:val="en-US"/>
        </w:rPr>
        <w:t>ar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[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Es</w:t>
      </w:r>
      <w:r>
        <w:rPr>
          <w:rFonts w:ascii="Calibri" w:hAnsi="Calibri" w:cs="Calibri"/>
          <w:spacing w:val="-2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ti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 xml:space="preserve">l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m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ssa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fr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lang w:val="en-US"/>
        </w:rPr>
        <w:t>m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gu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li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s. </w:t>
      </w:r>
      <w:r>
        <w:rPr>
          <w:rFonts w:ascii="Calibri" w:hAnsi="Calibri" w:cs="Calibri"/>
          <w:spacing w:val="1"/>
          <w:lang w:val="en-US"/>
        </w:rPr>
        <w:t>2</w:t>
      </w:r>
      <w:r>
        <w:rPr>
          <w:rFonts w:ascii="Calibri" w:hAnsi="Calibri" w:cs="Calibri"/>
          <w:spacing w:val="-2"/>
          <w:lang w:val="en-US"/>
        </w:rPr>
        <w:t>01</w:t>
      </w:r>
      <w:r>
        <w:rPr>
          <w:rFonts w:ascii="Calibri" w:hAnsi="Calibri" w:cs="Calibri"/>
          <w:lang w:val="en-US"/>
        </w:rPr>
        <w:t>3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[</w:t>
      </w:r>
      <w:r>
        <w:rPr>
          <w:rFonts w:ascii="Calibri" w:hAnsi="Calibri" w:cs="Calibri"/>
          <w:lang w:val="en-US"/>
        </w:rPr>
        <w:t>ci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>y</w:t>
      </w:r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1161"/>
        <w:jc w:val="both"/>
        <w:rPr>
          <w:rFonts w:ascii="Calibri" w:hAnsi="Calibri" w:cs="Calibri"/>
          <w:spacing w:val="-3"/>
          <w:lang w:val="en-US"/>
        </w:rPr>
      </w:pPr>
      <w:r>
        <w:rPr>
          <w:rFonts w:ascii="Calibri" w:hAnsi="Calibri" w:cs="Calibri"/>
          <w:spacing w:val="1"/>
          <w:lang w:val="en-US"/>
        </w:rPr>
        <w:t>6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20</w:t>
      </w:r>
      <w:r>
        <w:rPr>
          <w:rFonts w:ascii="Calibri" w:hAnsi="Calibri" w:cs="Calibri"/>
          <w:spacing w:val="1"/>
          <w:lang w:val="en-US"/>
        </w:rPr>
        <w:t>15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aila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>le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 xml:space="preserve">: </w:t>
      </w:r>
      <w:r>
        <w:rPr>
          <w:rFonts w:ascii="Calibri" w:hAnsi="Calibri" w:cs="Calibri"/>
          <w:color w:val="0000FF"/>
          <w:spacing w:val="-48"/>
          <w:lang w:val="en-US"/>
        </w:rPr>
        <w:t xml:space="preserve"> </w:t>
      </w:r>
      <w:hyperlink r:id="rId16" w:history="1"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: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w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ww.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scar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g/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u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eli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s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&amp;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-E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du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cat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lastRenderedPageBreak/>
          <w:t>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n/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Cli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ical-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racti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e-</w:t>
        </w:r>
        <w:r>
          <w:rPr>
            <w:rFonts w:ascii="Calibri" w:hAnsi="Calibri" w:cs="Calibri"/>
            <w:vanish/>
            <w:color w:val="0000FF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 xml:space="preserve"> 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u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eli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es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erial-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y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si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lastRenderedPageBreak/>
          <w:t>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t-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f</w:t>
        </w:r>
      </w:hyperlink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-2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spacing w:val="1"/>
          <w:lang w:val="en-US"/>
        </w:rPr>
        <w:t>3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an </w:t>
      </w:r>
      <w:r>
        <w:rPr>
          <w:rFonts w:ascii="Calibri" w:hAnsi="Calibri" w:cs="Calibri"/>
          <w:spacing w:val="-3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ci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ty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 C</w:t>
      </w:r>
      <w:r>
        <w:rPr>
          <w:rFonts w:ascii="Calibri" w:hAnsi="Calibri" w:cs="Calibri"/>
          <w:spacing w:val="-3"/>
          <w:lang w:val="en-US"/>
        </w:rPr>
        <w:t>ar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[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Sum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>ry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 xml:space="preserve">card </w:t>
      </w:r>
      <w:r>
        <w:rPr>
          <w:rFonts w:ascii="Calibri" w:hAnsi="Calibri" w:cs="Calibri"/>
          <w:spacing w:val="-3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 xml:space="preserve">r </w:t>
      </w:r>
      <w:r>
        <w:rPr>
          <w:rFonts w:ascii="Calibri" w:hAnsi="Calibri" w:cs="Calibri"/>
          <w:spacing w:val="-3"/>
          <w:lang w:val="en-US"/>
        </w:rPr>
        <w:t>g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ral 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lang w:val="en-US"/>
        </w:rPr>
        <w:t>ra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lang w:val="en-US"/>
        </w:rPr>
        <w:t>tic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>2</w:t>
      </w:r>
      <w:r>
        <w:rPr>
          <w:rFonts w:ascii="Calibri" w:hAnsi="Calibri" w:cs="Calibri"/>
          <w:spacing w:val="-2"/>
          <w:lang w:val="en-US"/>
        </w:rPr>
        <w:t>0</w:t>
      </w: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lang w:val="en-US"/>
        </w:rPr>
        <w:t>3</w:t>
      </w:r>
      <w:r>
        <w:rPr>
          <w:rFonts w:ascii="Calibri" w:hAnsi="Calibri" w:cs="Calibri"/>
          <w:spacing w:val="-1"/>
          <w:lang w:val="en-US"/>
        </w:rPr>
        <w:t xml:space="preserve"> [</w:t>
      </w:r>
      <w:r>
        <w:rPr>
          <w:rFonts w:ascii="Calibri" w:hAnsi="Calibri" w:cs="Calibri"/>
          <w:lang w:val="en-US"/>
        </w:rPr>
        <w:t>cit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d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6</w:t>
      </w:r>
      <w:r>
        <w:rPr>
          <w:rFonts w:ascii="Calibri" w:hAnsi="Calibri" w:cs="Calibri"/>
          <w:lang w:val="en-US"/>
        </w:rPr>
        <w:t>,</w:t>
      </w:r>
    </w:p>
    <w:p w:rsidR="002C3465" w:rsidRDefault="002C3465" w:rsidP="002C3465">
      <w:pPr>
        <w:autoSpaceDE w:val="0"/>
        <w:autoSpaceDN w:val="0"/>
        <w:adjustRightInd w:val="0"/>
        <w:spacing w:after="0" w:line="267" w:lineRule="atLeast"/>
        <w:ind w:left="120" w:right="-20"/>
        <w:jc w:val="both"/>
        <w:rPr>
          <w:rFonts w:ascii="Calibri" w:hAnsi="Calibri" w:cs="Calibri"/>
          <w:spacing w:val="-1"/>
          <w:lang w:val="en-US"/>
        </w:rPr>
      </w:pPr>
      <w:r>
        <w:rPr>
          <w:rFonts w:ascii="Calibri" w:hAnsi="Calibri" w:cs="Calibri"/>
          <w:spacing w:val="1"/>
          <w:position w:val="1"/>
          <w:lang w:val="en-US"/>
        </w:rPr>
        <w:t>2</w:t>
      </w:r>
      <w:r>
        <w:rPr>
          <w:rFonts w:ascii="Calibri" w:hAnsi="Calibri" w:cs="Calibri"/>
          <w:spacing w:val="-2"/>
          <w:position w:val="1"/>
          <w:lang w:val="en-US"/>
        </w:rPr>
        <w:t>0</w:t>
      </w:r>
      <w:r>
        <w:rPr>
          <w:rFonts w:ascii="Calibri" w:hAnsi="Calibri" w:cs="Calibri"/>
          <w:spacing w:val="1"/>
          <w:position w:val="1"/>
          <w:lang w:val="en-US"/>
        </w:rPr>
        <w:t>15</w:t>
      </w:r>
      <w:r>
        <w:rPr>
          <w:rFonts w:ascii="Calibri" w:hAnsi="Calibri" w:cs="Calibri"/>
          <w:spacing w:val="-1"/>
          <w:position w:val="1"/>
          <w:lang w:val="en-US"/>
        </w:rPr>
        <w:t>]</w:t>
      </w:r>
      <w:r>
        <w:rPr>
          <w:rFonts w:ascii="Calibri" w:hAnsi="Calibri" w:cs="Calibri"/>
          <w:position w:val="1"/>
          <w:lang w:val="en-US"/>
        </w:rPr>
        <w:t xml:space="preserve">. </w:t>
      </w:r>
      <w:r>
        <w:rPr>
          <w:rFonts w:ascii="Calibri" w:hAnsi="Calibri" w:cs="Calibri"/>
          <w:spacing w:val="-3"/>
          <w:position w:val="1"/>
          <w:lang w:val="en-US"/>
        </w:rPr>
        <w:t>A</w:t>
      </w:r>
      <w:r>
        <w:rPr>
          <w:rFonts w:ascii="Calibri" w:hAnsi="Calibri" w:cs="Calibri"/>
          <w:spacing w:val="1"/>
          <w:position w:val="1"/>
          <w:lang w:val="en-US"/>
        </w:rPr>
        <w:t>v</w:t>
      </w:r>
      <w:r>
        <w:rPr>
          <w:rFonts w:ascii="Calibri" w:hAnsi="Calibri" w:cs="Calibri"/>
          <w:position w:val="1"/>
          <w:lang w:val="en-US"/>
        </w:rPr>
        <w:t>aila</w:t>
      </w:r>
      <w:r>
        <w:rPr>
          <w:rFonts w:ascii="Calibri" w:hAnsi="Calibri" w:cs="Calibri"/>
          <w:spacing w:val="-1"/>
          <w:position w:val="1"/>
          <w:lang w:val="en-US"/>
        </w:rPr>
        <w:t>b</w:t>
      </w:r>
      <w:r>
        <w:rPr>
          <w:rFonts w:ascii="Calibri" w:hAnsi="Calibri" w:cs="Calibri"/>
          <w:position w:val="1"/>
          <w:lang w:val="en-US"/>
        </w:rPr>
        <w:t>le</w:t>
      </w:r>
      <w:r>
        <w:rPr>
          <w:rFonts w:ascii="Calibri" w:hAnsi="Calibri" w:cs="Calibri"/>
          <w:spacing w:val="1"/>
          <w:position w:val="1"/>
          <w:lang w:val="en-US"/>
        </w:rPr>
        <w:t xml:space="preserve"> </w:t>
      </w:r>
      <w:r>
        <w:rPr>
          <w:rFonts w:ascii="Calibri" w:hAnsi="Calibri" w:cs="Calibri"/>
          <w:position w:val="1"/>
          <w:lang w:val="en-US"/>
        </w:rPr>
        <w:t>f</w:t>
      </w:r>
      <w:r>
        <w:rPr>
          <w:rFonts w:ascii="Calibri" w:hAnsi="Calibri" w:cs="Calibri"/>
          <w:spacing w:val="-3"/>
          <w:position w:val="1"/>
          <w:lang w:val="en-US"/>
        </w:rPr>
        <w:t>r</w:t>
      </w:r>
      <w:r>
        <w:rPr>
          <w:rFonts w:ascii="Calibri" w:hAnsi="Calibri" w:cs="Calibri"/>
          <w:spacing w:val="-1"/>
          <w:position w:val="1"/>
          <w:lang w:val="en-US"/>
        </w:rPr>
        <w:t>o</w:t>
      </w:r>
      <w:r>
        <w:rPr>
          <w:rFonts w:ascii="Calibri" w:hAnsi="Calibri" w:cs="Calibri"/>
          <w:spacing w:val="1"/>
          <w:position w:val="1"/>
          <w:lang w:val="en-US"/>
        </w:rPr>
        <w:t>m</w:t>
      </w:r>
      <w:r>
        <w:rPr>
          <w:rFonts w:ascii="Calibri" w:hAnsi="Calibri" w:cs="Calibri"/>
          <w:position w:val="1"/>
          <w:lang w:val="en-US"/>
        </w:rPr>
        <w:t xml:space="preserve">: </w:t>
      </w:r>
      <w:hyperlink r:id="rId17" w:history="1"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tt</w:t>
        </w:r>
        <w:r>
          <w:rPr>
            <w:rFonts w:ascii="Calibri" w:hAnsi="Calibri" w:cs="Calibri"/>
            <w:vanish/>
            <w:color w:val="0000FF"/>
            <w:spacing w:val="-3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position w:val="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: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2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position w:val="1"/>
            <w:u w:val="single"/>
            <w:lang w:val="en-US"/>
          </w:rPr>
          <w:t>w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ww.e</w:t>
        </w:r>
        <w:r>
          <w:rPr>
            <w:rFonts w:ascii="Calibri" w:hAnsi="Calibri" w:cs="Calibri"/>
            <w:vanish/>
            <w:color w:val="0000FF"/>
            <w:spacing w:val="-2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position w:val="1"/>
            <w:u w:val="single"/>
            <w:lang w:val="en-US"/>
          </w:rPr>
          <w:t>s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car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3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position w:val="1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u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-3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position w:val="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eli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 xml:space="preserve">HYPERLINK 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lastRenderedPageBreak/>
          <w:t>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es-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&amp;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-E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du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spacing w:val="-3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position w:val="1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ti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3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position w:val="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Cli</w:t>
        </w:r>
        <w:r>
          <w:rPr>
            <w:rFonts w:ascii="Calibri" w:hAnsi="Calibri" w:cs="Calibri"/>
            <w:vanish/>
            <w:color w:val="0000FF"/>
            <w:spacing w:val="-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position w:val="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ica</w:t>
        </w:r>
        <w:r>
          <w:rPr>
            <w:rFonts w:ascii="Calibri" w:hAnsi="Calibri" w:cs="Calibri"/>
            <w:vanish/>
            <w:color w:val="0000FF"/>
            <w:spacing w:val="-2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position w:val="1"/>
            <w:u w:val="single"/>
            <w:lang w:val="en-US"/>
          </w:rPr>
          <w:t>l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pacing w:val="1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position w:val="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racti</w:t>
        </w:r>
        <w:r>
          <w:rPr>
            <w:rFonts w:ascii="Calibri" w:hAnsi="Calibri" w:cs="Calibri"/>
            <w:vanish/>
            <w:color w:val="0000FF"/>
            <w:spacing w:val="-2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position w:val="1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position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position w:val="1"/>
            <w:u w:val="single"/>
            <w:lang w:val="en-US"/>
          </w:rPr>
          <w:t>e-</w:t>
        </w:r>
      </w:hyperlink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-20"/>
        <w:jc w:val="both"/>
        <w:rPr>
          <w:rFonts w:ascii="Calibri" w:hAnsi="Calibri" w:cs="Calibri"/>
          <w:spacing w:val="-1"/>
          <w:lang w:val="en-US"/>
        </w:rPr>
      </w:pPr>
      <w:hyperlink r:id="rId18" w:history="1"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u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eli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es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erial-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y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r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lastRenderedPageBreak/>
          <w:t>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si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a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t-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"http://www.escardio.org/Guidelines-%26-Education/Clinical-Practice-Guidelines/Arterial-Hypertension-Management-of"</w:t>
        </w:r>
        <w:r>
          <w:rPr>
            <w:rFonts w:ascii="Calibri" w:hAnsi="Calibri" w:cs="Calibri"/>
            <w:color w:val="0000FF"/>
            <w:u w:val="single"/>
            <w:lang w:val="en-US"/>
          </w:rPr>
          <w:t>f</w:t>
        </w:r>
      </w:hyperlink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522"/>
        <w:jc w:val="both"/>
        <w:rPr>
          <w:rFonts w:ascii="Calibri" w:hAnsi="Calibri" w:cs="Calibri"/>
          <w:spacing w:val="-3"/>
          <w:lang w:val="en-US"/>
        </w:rPr>
      </w:pPr>
      <w:r>
        <w:rPr>
          <w:rFonts w:ascii="Calibri" w:hAnsi="Calibri" w:cs="Calibri"/>
          <w:spacing w:val="1"/>
          <w:lang w:val="en-US"/>
        </w:rPr>
        <w:t>4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G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li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1"/>
          <w:lang w:val="en-US"/>
        </w:rPr>
        <w:t>P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3"/>
          <w:lang w:val="en-US"/>
        </w:rPr>
        <w:t>l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Ad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3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-1"/>
          <w:lang w:val="en-US"/>
        </w:rPr>
        <w:t>om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it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ee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lang w:val="en-US"/>
        </w:rPr>
        <w:t xml:space="preserve">ical 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spacing w:val="-1"/>
          <w:lang w:val="en-US"/>
        </w:rPr>
        <w:t>om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issi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n</w:t>
      </w:r>
      <w:r>
        <w:rPr>
          <w:rFonts w:ascii="Calibri" w:hAnsi="Calibri" w:cs="Calibri"/>
          <w:spacing w:val="-5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 British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-3"/>
          <w:lang w:val="en-US"/>
        </w:rPr>
        <w:t>u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 xml:space="preserve">ia.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3"/>
          <w:lang w:val="en-US"/>
        </w:rPr>
        <w:t>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n –</w:t>
      </w:r>
      <w:r>
        <w:rPr>
          <w:rFonts w:ascii="Calibri" w:hAnsi="Calibri" w:cs="Calibri"/>
          <w:spacing w:val="-1"/>
          <w:lang w:val="en-US"/>
        </w:rPr>
        <w:t xml:space="preserve"> 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cti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-4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D</w:t>
      </w:r>
      <w:r>
        <w:rPr>
          <w:rFonts w:ascii="Calibri" w:hAnsi="Calibri" w:cs="Calibri"/>
          <w:lang w:val="en-US"/>
        </w:rPr>
        <w:t>ia</w:t>
      </w:r>
      <w:r>
        <w:rPr>
          <w:rFonts w:ascii="Calibri" w:hAnsi="Calibri" w:cs="Calibri"/>
          <w:spacing w:val="-1"/>
          <w:lang w:val="en-US"/>
        </w:rPr>
        <w:t>gn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sis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m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Sum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 G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li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46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[h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m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n 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e 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>.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2</w:t>
      </w:r>
      <w:r>
        <w:rPr>
          <w:rFonts w:ascii="Calibri" w:hAnsi="Calibri" w:cs="Calibri"/>
          <w:spacing w:val="-2"/>
          <w:lang w:val="en-US"/>
        </w:rPr>
        <w:t>0</w:t>
      </w:r>
      <w:r>
        <w:rPr>
          <w:rFonts w:ascii="Calibri" w:hAnsi="Calibri" w:cs="Calibri"/>
          <w:spacing w:val="1"/>
          <w:lang w:val="en-US"/>
        </w:rPr>
        <w:t>0</w:t>
      </w:r>
      <w:r>
        <w:rPr>
          <w:rFonts w:ascii="Calibri" w:hAnsi="Calibri" w:cs="Calibri"/>
          <w:lang w:val="en-US"/>
        </w:rPr>
        <w:t>8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3"/>
          <w:lang w:val="en-US"/>
        </w:rPr>
        <w:t>[</w:t>
      </w:r>
      <w:r>
        <w:rPr>
          <w:rFonts w:ascii="Calibri" w:hAnsi="Calibri" w:cs="Calibri"/>
          <w:lang w:val="en-US"/>
        </w:rPr>
        <w:t>cit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d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8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20</w:t>
      </w:r>
      <w:r>
        <w:rPr>
          <w:rFonts w:ascii="Calibri" w:hAnsi="Calibri" w:cs="Calibri"/>
          <w:spacing w:val="1"/>
          <w:lang w:val="en-US"/>
        </w:rPr>
        <w:t>15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aila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>le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 xml:space="preserve">: </w:t>
      </w:r>
      <w:r>
        <w:rPr>
          <w:rFonts w:ascii="Calibri" w:hAnsi="Calibri" w:cs="Calibri"/>
          <w:color w:val="0000FF"/>
          <w:spacing w:val="-48"/>
          <w:lang w:val="en-US"/>
        </w:rPr>
        <w:t xml:space="preserve"> </w:t>
      </w:r>
      <w:hyperlink r:id="rId19" w:history="1"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: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w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ww.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b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gu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d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eli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"http://www.bcguidelines.ca/"</w:t>
        </w:r>
        <w:r>
          <w:rPr>
            <w:rFonts w:ascii="Calibri" w:hAnsi="Calibri" w:cs="Calibri"/>
            <w:color w:val="0000FF"/>
            <w:u w:val="single"/>
            <w:lang w:val="en-US"/>
          </w:rPr>
          <w:t>es.ca</w:t>
        </w:r>
      </w:hyperlink>
    </w:p>
    <w:p w:rsidR="002C3465" w:rsidRDefault="002C3465" w:rsidP="002C3465">
      <w:pPr>
        <w:autoSpaceDE w:val="0"/>
        <w:autoSpaceDN w:val="0"/>
        <w:adjustRightInd w:val="0"/>
        <w:spacing w:after="0" w:line="240" w:lineRule="auto"/>
        <w:ind w:left="120" w:right="143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spacing w:val="1"/>
          <w:lang w:val="en-US"/>
        </w:rPr>
        <w:t>5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J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1"/>
          <w:lang w:val="en-US"/>
        </w:rPr>
        <w:t>me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P</w:t>
      </w:r>
      <w:r>
        <w:rPr>
          <w:rFonts w:ascii="Calibri" w:hAnsi="Calibri" w:cs="Calibri"/>
          <w:spacing w:val="-1"/>
          <w:lang w:val="en-US"/>
        </w:rPr>
        <w:t>A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lang w:val="en-US"/>
        </w:rPr>
        <w:t xml:space="preserve">aril </w:t>
      </w:r>
      <w:r>
        <w:rPr>
          <w:rFonts w:ascii="Calibri" w:hAnsi="Calibri" w:cs="Calibri"/>
          <w:spacing w:val="-1"/>
          <w:lang w:val="en-US"/>
        </w:rPr>
        <w:t>S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Ca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 B</w:t>
      </w:r>
      <w:r>
        <w:rPr>
          <w:rFonts w:ascii="Calibri" w:hAnsi="Calibri" w:cs="Calibri"/>
          <w:spacing w:val="1"/>
          <w:lang w:val="en-US"/>
        </w:rPr>
        <w:t>L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s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an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lang w:val="en-US"/>
        </w:rPr>
        <w:t>WC,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nn</w:t>
      </w:r>
      <w:r>
        <w:rPr>
          <w:rFonts w:ascii="Calibri" w:hAnsi="Calibri" w:cs="Calibri"/>
          <w:lang w:val="en-US"/>
        </w:rPr>
        <w:t>is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n-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m</w:t>
      </w:r>
      <w:r>
        <w:rPr>
          <w:rFonts w:ascii="Calibri" w:hAnsi="Calibri" w:cs="Calibri"/>
          <w:spacing w:val="1"/>
          <w:lang w:val="en-US"/>
        </w:rPr>
        <w:t>me</w:t>
      </w:r>
      <w:r>
        <w:rPr>
          <w:rFonts w:ascii="Calibri" w:hAnsi="Calibri" w:cs="Calibri"/>
          <w:lang w:val="en-US"/>
        </w:rPr>
        <w:t>lfarb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lang w:val="en-US"/>
        </w:rPr>
        <w:t>C,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nd</w:t>
      </w:r>
      <w:r>
        <w:rPr>
          <w:rFonts w:ascii="Calibri" w:hAnsi="Calibri" w:cs="Calibri"/>
          <w:lang w:val="en-US"/>
        </w:rPr>
        <w:t>ler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J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1"/>
          <w:lang w:val="en-US"/>
        </w:rPr>
        <w:t xml:space="preserve"> 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al.</w:t>
      </w:r>
      <w:r>
        <w:rPr>
          <w:rFonts w:ascii="Calibri" w:hAnsi="Calibri" w:cs="Calibri"/>
          <w:spacing w:val="-2"/>
          <w:lang w:val="en-US"/>
        </w:rPr>
        <w:t xml:space="preserve"> 2</w:t>
      </w:r>
      <w:r>
        <w:rPr>
          <w:rFonts w:ascii="Calibri" w:hAnsi="Calibri" w:cs="Calibri"/>
          <w:spacing w:val="1"/>
          <w:lang w:val="en-US"/>
        </w:rPr>
        <w:t>0</w:t>
      </w:r>
      <w:r>
        <w:rPr>
          <w:rFonts w:ascii="Calibri" w:hAnsi="Calibri" w:cs="Calibri"/>
          <w:spacing w:val="-2"/>
          <w:lang w:val="en-US"/>
        </w:rPr>
        <w:t>1</w:t>
      </w:r>
      <w:r>
        <w:rPr>
          <w:rFonts w:ascii="Calibri" w:hAnsi="Calibri" w:cs="Calibri"/>
          <w:lang w:val="en-US"/>
        </w:rPr>
        <w:t>4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- 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>as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-1"/>
          <w:lang w:val="en-US"/>
        </w:rPr>
        <w:t>gu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d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li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3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 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spacing w:val="1"/>
          <w:lang w:val="en-US"/>
        </w:rPr>
        <w:t>eme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g</w:t>
      </w:r>
      <w:r>
        <w:rPr>
          <w:rFonts w:ascii="Calibri" w:hAnsi="Calibri" w:cs="Calibri"/>
          <w:lang w:val="en-US"/>
        </w:rPr>
        <w:t xml:space="preserve">h 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ss</w:t>
      </w:r>
      <w:r>
        <w:rPr>
          <w:rFonts w:ascii="Calibri" w:hAnsi="Calibri" w:cs="Calibri"/>
          <w:spacing w:val="-1"/>
          <w:lang w:val="en-US"/>
        </w:rPr>
        <w:t>u</w:t>
      </w:r>
      <w:r>
        <w:rPr>
          <w:rFonts w:ascii="Calibri" w:hAnsi="Calibri" w:cs="Calibri"/>
          <w:lang w:val="en-US"/>
        </w:rPr>
        <w:t>re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in a</w:t>
      </w:r>
      <w:r>
        <w:rPr>
          <w:rFonts w:ascii="Calibri" w:hAnsi="Calibri" w:cs="Calibri"/>
          <w:spacing w:val="-1"/>
          <w:lang w:val="en-US"/>
        </w:rPr>
        <w:t>du</w:t>
      </w:r>
      <w:r>
        <w:rPr>
          <w:rFonts w:ascii="Calibri" w:hAnsi="Calibri" w:cs="Calibri"/>
          <w:lang w:val="en-US"/>
        </w:rPr>
        <w:t>lt</w:t>
      </w:r>
      <w:r>
        <w:rPr>
          <w:rFonts w:ascii="Calibri" w:hAnsi="Calibri" w:cs="Calibri"/>
          <w:spacing w:val="-2"/>
          <w:lang w:val="en-US"/>
        </w:rPr>
        <w:t>s</w:t>
      </w:r>
      <w:r>
        <w:rPr>
          <w:rFonts w:ascii="Calibri" w:hAnsi="Calibri" w:cs="Calibri"/>
          <w:lang w:val="en-US"/>
        </w:rPr>
        <w:t>: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rt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lang w:val="en-US"/>
        </w:rPr>
        <w:t>fr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lang w:val="en-US"/>
        </w:rPr>
        <w:t>m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3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lang w:val="en-US"/>
        </w:rPr>
        <w:t>a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l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lang w:val="en-US"/>
        </w:rPr>
        <w:t>s a</w:t>
      </w:r>
      <w:r>
        <w:rPr>
          <w:rFonts w:ascii="Calibri" w:hAnsi="Calibri" w:cs="Calibri"/>
          <w:spacing w:val="-1"/>
          <w:lang w:val="en-US"/>
        </w:rPr>
        <w:t>pp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 xml:space="preserve">d 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Ei</w:t>
      </w:r>
      <w:r>
        <w:rPr>
          <w:rFonts w:ascii="Calibri" w:hAnsi="Calibri" w:cs="Calibri"/>
          <w:spacing w:val="-1"/>
          <w:lang w:val="en-US"/>
        </w:rPr>
        <w:t>gh</w:t>
      </w:r>
      <w:r>
        <w:rPr>
          <w:rFonts w:ascii="Calibri" w:hAnsi="Calibri" w:cs="Calibri"/>
          <w:lang w:val="en-US"/>
        </w:rPr>
        <w:t xml:space="preserve">th </w:t>
      </w:r>
      <w:r>
        <w:rPr>
          <w:rFonts w:ascii="Calibri" w:hAnsi="Calibri" w:cs="Calibri"/>
          <w:spacing w:val="-3"/>
          <w:lang w:val="en-US"/>
        </w:rPr>
        <w:t>J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3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ati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al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-1"/>
          <w:lang w:val="en-US"/>
        </w:rPr>
        <w:t>om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it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(</w:t>
      </w:r>
      <w:r>
        <w:rPr>
          <w:rFonts w:ascii="Calibri" w:hAnsi="Calibri" w:cs="Calibri"/>
          <w:spacing w:val="-1"/>
          <w:lang w:val="en-US"/>
        </w:rPr>
        <w:t>J</w:t>
      </w:r>
      <w:r>
        <w:rPr>
          <w:rFonts w:ascii="Calibri" w:hAnsi="Calibri" w:cs="Calibri"/>
          <w:spacing w:val="-3"/>
          <w:lang w:val="en-US"/>
        </w:rPr>
        <w:t>N</w:t>
      </w:r>
      <w:r>
        <w:rPr>
          <w:rFonts w:ascii="Calibri" w:hAnsi="Calibri" w:cs="Calibri"/>
          <w:lang w:val="en-US"/>
        </w:rPr>
        <w:t>C</w:t>
      </w:r>
      <w:r>
        <w:rPr>
          <w:rFonts w:ascii="Calibri" w:hAnsi="Calibri" w:cs="Calibri"/>
          <w:spacing w:val="1"/>
          <w:lang w:val="en-US"/>
        </w:rPr>
        <w:t xml:space="preserve"> 8</w:t>
      </w:r>
      <w:r>
        <w:rPr>
          <w:rFonts w:ascii="Calibri" w:hAnsi="Calibri" w:cs="Calibri"/>
          <w:lang w:val="en-US"/>
        </w:rPr>
        <w:t xml:space="preserve">). </w:t>
      </w:r>
      <w:r>
        <w:rPr>
          <w:rFonts w:ascii="Calibri" w:hAnsi="Calibri" w:cs="Calibri"/>
          <w:spacing w:val="-1"/>
          <w:lang w:val="en-US"/>
        </w:rPr>
        <w:t>J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1"/>
          <w:lang w:val="en-US"/>
        </w:rPr>
        <w:t>A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-2"/>
          <w:lang w:val="en-US"/>
        </w:rPr>
        <w:t>2</w:t>
      </w:r>
      <w:r>
        <w:rPr>
          <w:rFonts w:ascii="Calibri" w:hAnsi="Calibri" w:cs="Calibri"/>
          <w:spacing w:val="1"/>
          <w:lang w:val="en-US"/>
        </w:rPr>
        <w:t>0</w:t>
      </w:r>
      <w:r>
        <w:rPr>
          <w:rFonts w:ascii="Calibri" w:hAnsi="Calibri" w:cs="Calibri"/>
          <w:spacing w:val="-1"/>
          <w:lang w:val="en-US"/>
        </w:rPr>
        <w:t>1</w:t>
      </w:r>
      <w:r>
        <w:rPr>
          <w:rFonts w:ascii="Calibri" w:hAnsi="Calibri" w:cs="Calibri"/>
          <w:lang w:val="en-US"/>
        </w:rPr>
        <w:t>4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F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b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5</w:t>
      </w:r>
      <w:r>
        <w:rPr>
          <w:rFonts w:ascii="Calibri" w:hAnsi="Calibri" w:cs="Calibri"/>
          <w:spacing w:val="1"/>
          <w:lang w:val="en-US"/>
        </w:rPr>
        <w:t>;</w:t>
      </w:r>
      <w:r>
        <w:rPr>
          <w:rFonts w:ascii="Calibri" w:hAnsi="Calibri" w:cs="Calibri"/>
          <w:spacing w:val="-1"/>
          <w:lang w:val="en-US"/>
        </w:rPr>
        <w:t>3</w:t>
      </w:r>
      <w:r>
        <w:rPr>
          <w:rFonts w:ascii="Calibri" w:hAnsi="Calibri" w:cs="Calibri"/>
          <w:spacing w:val="1"/>
          <w:lang w:val="en-US"/>
        </w:rPr>
        <w:t>1</w:t>
      </w:r>
      <w:r>
        <w:rPr>
          <w:rFonts w:ascii="Calibri" w:hAnsi="Calibri" w:cs="Calibri"/>
          <w:spacing w:val="-1"/>
          <w:lang w:val="en-US"/>
        </w:rPr>
        <w:t>1</w:t>
      </w:r>
      <w:r>
        <w:rPr>
          <w:rFonts w:ascii="Calibri" w:hAnsi="Calibri" w:cs="Calibri"/>
          <w:lang w:val="en-US"/>
        </w:rPr>
        <w:t>(</w:t>
      </w:r>
      <w:r>
        <w:rPr>
          <w:rFonts w:ascii="Calibri" w:hAnsi="Calibri" w:cs="Calibri"/>
          <w:spacing w:val="1"/>
          <w:lang w:val="en-US"/>
        </w:rPr>
        <w:t>5</w:t>
      </w:r>
      <w:r>
        <w:rPr>
          <w:rFonts w:ascii="Calibri" w:hAnsi="Calibri" w:cs="Calibri"/>
          <w:lang w:val="en-US"/>
        </w:rPr>
        <w:t>)</w:t>
      </w:r>
      <w:r>
        <w:rPr>
          <w:rFonts w:ascii="Calibri" w:hAnsi="Calibri" w:cs="Calibri"/>
          <w:spacing w:val="-1"/>
          <w:lang w:val="en-US"/>
        </w:rPr>
        <w:t>:</w:t>
      </w:r>
      <w:r>
        <w:rPr>
          <w:rFonts w:ascii="Calibri" w:hAnsi="Calibri" w:cs="Calibri"/>
          <w:spacing w:val="1"/>
          <w:lang w:val="en-US"/>
        </w:rPr>
        <w:t>5</w:t>
      </w:r>
      <w:r>
        <w:rPr>
          <w:rFonts w:ascii="Calibri" w:hAnsi="Calibri" w:cs="Calibri"/>
          <w:spacing w:val="-1"/>
          <w:lang w:val="en-US"/>
        </w:rPr>
        <w:t>0</w:t>
      </w:r>
      <w:r>
        <w:rPr>
          <w:rFonts w:ascii="Calibri" w:hAnsi="Calibri" w:cs="Calibri"/>
          <w:spacing w:val="1"/>
          <w:lang w:val="en-US"/>
        </w:rPr>
        <w:t>7</w:t>
      </w:r>
      <w:r>
        <w:rPr>
          <w:rFonts w:ascii="Calibri" w:hAnsi="Calibri" w:cs="Calibri"/>
          <w:lang w:val="en-US"/>
        </w:rPr>
        <w:t>-</w:t>
      </w:r>
      <w:r>
        <w:rPr>
          <w:rFonts w:ascii="Calibri" w:hAnsi="Calibri" w:cs="Calibri"/>
          <w:spacing w:val="-2"/>
          <w:lang w:val="en-US"/>
        </w:rPr>
        <w:t>2</w:t>
      </w:r>
      <w:r>
        <w:rPr>
          <w:rFonts w:ascii="Calibri" w:hAnsi="Calibri" w:cs="Calibri"/>
          <w:spacing w:val="1"/>
          <w:lang w:val="en-US"/>
        </w:rPr>
        <w:t>0</w:t>
      </w:r>
      <w:r>
        <w:rPr>
          <w:rFonts w:ascii="Calibri" w:hAnsi="Calibri" w:cs="Calibri"/>
          <w:lang w:val="en-US"/>
        </w:rPr>
        <w:t>.</w:t>
      </w:r>
    </w:p>
    <w:p w:rsidR="002C3465" w:rsidRDefault="002C3465" w:rsidP="002C3465">
      <w:pPr>
        <w:autoSpaceDE w:val="0"/>
        <w:autoSpaceDN w:val="0"/>
        <w:adjustRightInd w:val="0"/>
        <w:spacing w:after="0" w:line="239" w:lineRule="atLeast"/>
        <w:ind w:left="119" w:right="265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6.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2"/>
          <w:lang w:val="en-US"/>
        </w:rPr>
        <w:t>B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1"/>
          <w:lang w:val="en-US"/>
        </w:rPr>
        <w:t>J</w:t>
      </w:r>
      <w:r>
        <w:rPr>
          <w:rFonts w:ascii="Calibri" w:hAnsi="Calibri" w:cs="Calibri"/>
          <w:lang w:val="en-US"/>
        </w:rPr>
        <w:t>. Es</w:t>
      </w:r>
      <w:r>
        <w:rPr>
          <w:rFonts w:ascii="Calibri" w:hAnsi="Calibri" w:cs="Calibri"/>
          <w:spacing w:val="-2"/>
          <w:lang w:val="en-US"/>
        </w:rPr>
        <w:t>s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 xml:space="preserve">tial </w:t>
      </w:r>
      <w:r>
        <w:rPr>
          <w:rFonts w:ascii="Calibri" w:hAnsi="Calibri" w:cs="Calibri"/>
          <w:spacing w:val="-1"/>
          <w:lang w:val="en-US"/>
        </w:rPr>
        <w:t>h</w:t>
      </w:r>
      <w:r>
        <w:rPr>
          <w:rFonts w:ascii="Calibri" w:hAnsi="Calibri" w:cs="Calibri"/>
          <w:spacing w:val="1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>p</w:t>
      </w:r>
      <w:r>
        <w:rPr>
          <w:rFonts w:ascii="Calibri" w:hAnsi="Calibri" w:cs="Calibri"/>
          <w:spacing w:val="-2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1"/>
          <w:lang w:val="en-US"/>
        </w:rPr>
        <w:t>te</w:t>
      </w:r>
      <w:r>
        <w:rPr>
          <w:rFonts w:ascii="Calibri" w:hAnsi="Calibri" w:cs="Calibri"/>
          <w:spacing w:val="-3"/>
          <w:lang w:val="en-US"/>
        </w:rPr>
        <w:t>n</w:t>
      </w:r>
      <w:r>
        <w:rPr>
          <w:rFonts w:ascii="Calibri" w:hAnsi="Calibri" w:cs="Calibri"/>
          <w:lang w:val="en-US"/>
        </w:rPr>
        <w:t>si</w:t>
      </w:r>
      <w:r>
        <w:rPr>
          <w:rFonts w:ascii="Calibri" w:hAnsi="Calibri" w:cs="Calibri"/>
          <w:spacing w:val="1"/>
          <w:lang w:val="en-US"/>
        </w:rPr>
        <w:t>o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lang w:val="en-US"/>
        </w:rPr>
        <w:t>. B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J</w:t>
      </w:r>
      <w:r>
        <w:rPr>
          <w:rFonts w:ascii="Calibri" w:hAnsi="Calibri" w:cs="Calibri"/>
          <w:spacing w:val="-3"/>
          <w:lang w:val="en-US"/>
        </w:rPr>
        <w:t xml:space="preserve"> </w:t>
      </w:r>
      <w:r>
        <w:rPr>
          <w:rFonts w:ascii="Calibri" w:hAnsi="Calibri" w:cs="Calibri"/>
          <w:lang w:val="en-US"/>
        </w:rPr>
        <w:t>B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st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P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lang w:val="en-US"/>
        </w:rPr>
        <w:t>acti</w:t>
      </w:r>
      <w:r>
        <w:rPr>
          <w:rFonts w:ascii="Calibri" w:hAnsi="Calibri" w:cs="Calibri"/>
          <w:spacing w:val="-2"/>
          <w:lang w:val="en-US"/>
        </w:rPr>
        <w:t>c</w:t>
      </w:r>
      <w:r>
        <w:rPr>
          <w:rFonts w:ascii="Calibri" w:hAnsi="Calibri" w:cs="Calibri"/>
          <w:lang w:val="en-US"/>
        </w:rPr>
        <w:t>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[</w:t>
      </w:r>
      <w:r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-2"/>
          <w:lang w:val="en-US"/>
        </w:rPr>
        <w:t>t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n</w:t>
      </w:r>
      <w:r>
        <w:rPr>
          <w:rFonts w:ascii="Calibri" w:hAnsi="Calibri" w:cs="Calibri"/>
          <w:spacing w:val="1"/>
          <w:lang w:val="en-US"/>
        </w:rPr>
        <w:t>e</w:t>
      </w:r>
      <w:r>
        <w:rPr>
          <w:rFonts w:ascii="Calibri" w:hAnsi="Calibri" w:cs="Calibri"/>
          <w:lang w:val="en-US"/>
        </w:rPr>
        <w:t>t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.</w:t>
      </w:r>
      <w:r>
        <w:rPr>
          <w:rFonts w:ascii="Calibri" w:hAnsi="Calibri" w:cs="Calibri"/>
          <w:spacing w:val="-2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2</w:t>
      </w:r>
      <w:r>
        <w:rPr>
          <w:rFonts w:ascii="Calibri" w:hAnsi="Calibri" w:cs="Calibri"/>
          <w:spacing w:val="-2"/>
          <w:lang w:val="en-US"/>
        </w:rPr>
        <w:t>01</w:t>
      </w:r>
      <w:r>
        <w:rPr>
          <w:rFonts w:ascii="Calibri" w:hAnsi="Calibri" w:cs="Calibri"/>
          <w:lang w:val="en-US"/>
        </w:rPr>
        <w:t>5</w:t>
      </w:r>
      <w:r>
        <w:rPr>
          <w:rFonts w:ascii="Calibri" w:hAnsi="Calibri" w:cs="Calibri"/>
          <w:spacing w:val="2"/>
          <w:lang w:val="en-US"/>
        </w:rPr>
        <w:t xml:space="preserve"> </w:t>
      </w:r>
      <w:r>
        <w:rPr>
          <w:rFonts w:ascii="Calibri" w:hAnsi="Calibri" w:cs="Calibri"/>
          <w:spacing w:val="-1"/>
          <w:lang w:val="en-US"/>
        </w:rPr>
        <w:t>[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lang w:val="en-US"/>
        </w:rPr>
        <w:t>y</w:t>
      </w:r>
      <w:r>
        <w:rPr>
          <w:rFonts w:ascii="Calibri" w:hAnsi="Calibri" w:cs="Calibri"/>
          <w:spacing w:val="-1"/>
          <w:lang w:val="en-US"/>
        </w:rPr>
        <w:t xml:space="preserve"> </w:t>
      </w:r>
      <w:r>
        <w:rPr>
          <w:rFonts w:ascii="Calibri" w:hAnsi="Calibri" w:cs="Calibri"/>
          <w:spacing w:val="1"/>
          <w:lang w:val="en-US"/>
        </w:rPr>
        <w:t>21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  <w:spacing w:val="-2"/>
          <w:lang w:val="en-US"/>
        </w:rPr>
        <w:t xml:space="preserve"> 20</w:t>
      </w:r>
      <w:r>
        <w:rPr>
          <w:rFonts w:ascii="Calibri" w:hAnsi="Calibri" w:cs="Calibri"/>
          <w:spacing w:val="1"/>
          <w:lang w:val="en-US"/>
        </w:rPr>
        <w:t>15</w:t>
      </w:r>
      <w:r>
        <w:rPr>
          <w:rFonts w:ascii="Calibri" w:hAnsi="Calibri" w:cs="Calibri"/>
          <w:spacing w:val="-1"/>
          <w:lang w:val="en-US"/>
        </w:rPr>
        <w:t>]</w:t>
      </w:r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spacing w:val="-3"/>
          <w:lang w:val="en-US"/>
        </w:rPr>
        <w:t>A</w:t>
      </w:r>
      <w:r>
        <w:rPr>
          <w:rFonts w:ascii="Calibri" w:hAnsi="Calibri" w:cs="Calibri"/>
          <w:spacing w:val="1"/>
          <w:lang w:val="en-US"/>
        </w:rPr>
        <w:t>v</w:t>
      </w:r>
      <w:r>
        <w:rPr>
          <w:rFonts w:ascii="Calibri" w:hAnsi="Calibri" w:cs="Calibri"/>
          <w:lang w:val="en-US"/>
        </w:rPr>
        <w:t>aila</w:t>
      </w:r>
      <w:r>
        <w:rPr>
          <w:rFonts w:ascii="Calibri" w:hAnsi="Calibri" w:cs="Calibri"/>
          <w:spacing w:val="-1"/>
          <w:lang w:val="en-US"/>
        </w:rPr>
        <w:t>b</w:t>
      </w:r>
      <w:r>
        <w:rPr>
          <w:rFonts w:ascii="Calibri" w:hAnsi="Calibri" w:cs="Calibri"/>
          <w:lang w:val="en-US"/>
        </w:rPr>
        <w:t>le</w:t>
      </w:r>
      <w:r>
        <w:rPr>
          <w:rFonts w:ascii="Calibri" w:hAnsi="Calibri" w:cs="Calibri"/>
          <w:spacing w:val="1"/>
          <w:lang w:val="en-US"/>
        </w:rPr>
        <w:t xml:space="preserve"> </w:t>
      </w:r>
      <w:r>
        <w:rPr>
          <w:rFonts w:ascii="Calibri" w:hAnsi="Calibri" w:cs="Calibri"/>
          <w:lang w:val="en-US"/>
        </w:rPr>
        <w:t>f</w:t>
      </w:r>
      <w:r>
        <w:rPr>
          <w:rFonts w:ascii="Calibri" w:hAnsi="Calibri" w:cs="Calibri"/>
          <w:spacing w:val="-3"/>
          <w:lang w:val="en-US"/>
        </w:rPr>
        <w:t>r</w:t>
      </w:r>
      <w:r>
        <w:rPr>
          <w:rFonts w:ascii="Calibri" w:hAnsi="Calibri" w:cs="Calibri"/>
          <w:spacing w:val="-1"/>
          <w:lang w:val="en-US"/>
        </w:rPr>
        <w:t>o</w:t>
      </w:r>
      <w:r>
        <w:rPr>
          <w:rFonts w:ascii="Calibri" w:hAnsi="Calibri" w:cs="Calibri"/>
          <w:spacing w:val="1"/>
          <w:lang w:val="en-US"/>
        </w:rPr>
        <w:t>m</w:t>
      </w:r>
      <w:r>
        <w:rPr>
          <w:rFonts w:ascii="Calibri" w:hAnsi="Calibri" w:cs="Calibri"/>
          <w:lang w:val="en-US"/>
        </w:rPr>
        <w:t>:</w:t>
      </w:r>
    </w:p>
    <w:p w:rsidR="002C3465" w:rsidRDefault="002C3465" w:rsidP="002C3465">
      <w:pPr>
        <w:autoSpaceDE w:val="0"/>
        <w:autoSpaceDN w:val="0"/>
        <w:adjustRightInd w:val="0"/>
        <w:spacing w:before="2" w:after="0" w:line="240" w:lineRule="auto"/>
        <w:ind w:left="120" w:right="-20"/>
        <w:jc w:val="both"/>
        <w:rPr>
          <w:rFonts w:ascii="Calibri" w:hAnsi="Calibri" w:cs="Calibri"/>
          <w:spacing w:val="-1"/>
          <w:lang w:val="en-US"/>
        </w:rPr>
      </w:pPr>
      <w:hyperlink r:id="rId20" w:history="1"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tt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: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b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s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racti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 xml:space="preserve">HYPERLINK 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lastRenderedPageBreak/>
          <w:t>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e.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b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j.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m/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b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est-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ract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i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c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e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n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g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ra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ph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>
          <w:rPr>
            <w:rFonts w:ascii="Calibri" w:hAnsi="Calibri" w:cs="Calibri"/>
            <w:vanish/>
            <w:color w:val="0000FF"/>
            <w:spacing w:val="-2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2"/>
            <w:u w:val="single"/>
            <w:lang w:val="en-US"/>
          </w:rPr>
          <w:t>2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6/</w:t>
        </w:r>
        <w:r>
          <w:rPr>
            <w:rFonts w:ascii="Calibri" w:hAnsi="Calibri" w:cs="Calibri"/>
            <w:vanish/>
            <w:color w:val="0000FF"/>
            <w:spacing w:val="-3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3"/>
            <w:u w:val="single"/>
            <w:lang w:val="en-US"/>
          </w:rPr>
          <w:t>f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ll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o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w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-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up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.</w:t>
        </w:r>
        <w:r>
          <w:rPr>
            <w:rFonts w:ascii="Calibri" w:hAnsi="Calibri" w:cs="Calibri"/>
            <w:vanish/>
            <w:color w:val="0000FF"/>
            <w:spacing w:val="-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t</w:t>
        </w:r>
        <w:r>
          <w:rPr>
            <w:rFonts w:ascii="Calibri" w:hAnsi="Calibri" w:cs="Calibri"/>
            <w:vanish/>
            <w:color w:val="0000FF"/>
            <w:spacing w:val="1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spacing w:val="1"/>
            <w:u w:val="single"/>
            <w:lang w:val="en-US"/>
          </w:rPr>
          <w:t>m</w:t>
        </w:r>
        <w:r>
          <w:rPr>
            <w:rFonts w:ascii="Calibri" w:hAnsi="Calibri" w:cs="Calibri"/>
            <w:vanish/>
            <w:color w:val="0000FF"/>
            <w:u w:val="single"/>
            <w:lang w:val="en-US"/>
          </w:rPr>
          <w:t>HYPERLINK "http://bestpractice.bmj.com/best-practice/monograph/26/follow-up.html"</w:t>
        </w:r>
        <w:r>
          <w:rPr>
            <w:rFonts w:ascii="Calibri" w:hAnsi="Calibri" w:cs="Calibri"/>
            <w:color w:val="0000FF"/>
            <w:u w:val="single"/>
            <w:lang w:val="en-US"/>
          </w:rPr>
          <w:t>l</w:t>
        </w:r>
      </w:hyperlink>
    </w:p>
    <w:p w:rsidR="002C3465" w:rsidRDefault="002C3465" w:rsidP="002C3465">
      <w:pPr>
        <w:autoSpaceDE w:val="0"/>
        <w:autoSpaceDN w:val="0"/>
        <w:adjustRightInd w:val="0"/>
        <w:jc w:val="both"/>
        <w:rPr>
          <w:rFonts w:ascii="Calibri" w:hAnsi="Calibri" w:cs="Calibri"/>
          <w:spacing w:val="-1"/>
          <w:lang w:val="en-US"/>
        </w:rPr>
      </w:pPr>
    </w:p>
    <w:p w:rsidR="00804B98" w:rsidRDefault="00804B98"/>
    <w:sectPr w:rsidR="00804B98" w:rsidSect="00571AF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1B400F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C3465"/>
    <w:rsid w:val="002C3465"/>
    <w:rsid w:val="00804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escardio.org/Guidelines-%26-Education/Clinical-Practice-Guidelines/Arterial-Hypertension-Management-o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bcguidelines.ca/" TargetMode="External"/><Relationship Id="rId17" Type="http://schemas.openxmlformats.org/officeDocument/2006/relationships/hyperlink" Target="http://www.escardio.org/Guidelines-%26-Education/Clinical-Practice-Guidelines/Arterial-Hypertension-Management-o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scardio.org/Guidelines-%26-Education/Clinical-Practice-Guidelines/Arterial-Hypertension-Management-of" TargetMode="External"/><Relationship Id="rId20" Type="http://schemas.openxmlformats.org/officeDocument/2006/relationships/hyperlink" Target="http://bestpractice.bmj.com/best-practice/monograph/26/follow-up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scardio.org/Guidelines-&amp;-Education/Clinical-Practice-Guidelines/Arterial-Hypertension-Management-o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://www.bcguidelines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cardio.org/Guidelines-&amp;-Education/Clinical-Practice-Guidelines/Arterial-Hypertension-Management-of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11698</Words>
  <Characters>66682</Characters>
  <Application>Microsoft Office Word</Application>
  <DocSecurity>0</DocSecurity>
  <Lines>555</Lines>
  <Paragraphs>156</Paragraphs>
  <ScaleCrop>false</ScaleCrop>
  <Company/>
  <LinksUpToDate>false</LinksUpToDate>
  <CharactersWithSpaces>78224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kalmanbayeva_k</dc:creator>
  <cp:keywords/>
  <dc:description/>
  <cp:lastModifiedBy>kalmanbayeva_k</cp:lastModifiedBy>
  <cp:revision>2</cp:revision>
  <dcterms:created xsi:type="dcterms:W3CDTF">2015-11-25T05:36:00Z</dcterms:created>
  <dcterms:modified xsi:type="dcterms:W3CDTF">2015-11-25T05:37:00Z</dcterms:modified>
</cp:coreProperties>
</file>